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0FAD6" w14:textId="301375BA" w:rsidR="00935205" w:rsidRDefault="00935205" w:rsidP="001C5F99">
      <w:pPr>
        <w:pStyle w:val="berschrift2"/>
        <w:spacing w:before="0" w:after="200"/>
        <w:rPr>
          <w:rFonts w:ascii="Cambria" w:hAnsi="Cambria"/>
          <w:b w:val="0"/>
          <w:color w:val="auto"/>
          <w:sz w:val="20"/>
          <w:szCs w:val="20"/>
        </w:rPr>
      </w:pPr>
      <w:r w:rsidRPr="002D24A1">
        <w:rPr>
          <w:rFonts w:ascii="Cambria" w:hAnsi="Cambria"/>
          <w:color w:val="auto"/>
          <w:sz w:val="20"/>
          <w:szCs w:val="20"/>
        </w:rPr>
        <w:t>Einen „universellen“ Schutzhandschuh gibt es nicht.</w:t>
      </w:r>
      <w:r w:rsidRPr="002D24A1">
        <w:rPr>
          <w:rFonts w:ascii="Cambria" w:hAnsi="Cambria"/>
          <w:b w:val="0"/>
          <w:color w:val="auto"/>
          <w:sz w:val="20"/>
          <w:szCs w:val="20"/>
        </w:rPr>
        <w:t xml:space="preserve"> Handschuhe müssen für die jeweilige berufliche Tätigkeit geeignet sein. Verschiedene Faktoren oder Gefährdungen (z. B. Arbeitsstoffe oder mechanische Gefahren) beeinflussen die Auswahl des „richtigen“ (geeigneten) Handschuhs. Je nach Schutzwirkung werden Handschuhe mit unterschiedlichen </w:t>
      </w:r>
      <w:r w:rsidRPr="00C9773F">
        <w:rPr>
          <w:rFonts w:ascii="Cambria" w:hAnsi="Cambria"/>
          <w:color w:val="auto"/>
          <w:sz w:val="20"/>
          <w:szCs w:val="20"/>
        </w:rPr>
        <w:t>Piktogrammen</w:t>
      </w:r>
      <w:r w:rsidRPr="002D24A1">
        <w:rPr>
          <w:rFonts w:ascii="Cambria" w:hAnsi="Cambria"/>
          <w:b w:val="0"/>
          <w:color w:val="auto"/>
          <w:sz w:val="20"/>
          <w:szCs w:val="20"/>
        </w:rPr>
        <w:t xml:space="preserve"> (Symbolen) gekennzeichnet. </w:t>
      </w:r>
    </w:p>
    <w:p w14:paraId="59EEA657" w14:textId="77777777" w:rsidR="0019793C" w:rsidRPr="0019793C" w:rsidRDefault="0019793C" w:rsidP="0019793C">
      <w:pPr>
        <w:spacing w:after="0"/>
      </w:pPr>
    </w:p>
    <w:p w14:paraId="3912A113" w14:textId="77777777" w:rsidR="002D24A1" w:rsidRPr="002D24A1" w:rsidRDefault="002D24A1" w:rsidP="001C5F99">
      <w:pPr>
        <w:rPr>
          <w:color w:val="75A9A4"/>
          <w:szCs w:val="20"/>
        </w:rPr>
      </w:pPr>
      <w:r w:rsidRPr="002D24A1">
        <w:rPr>
          <w:color w:val="75A9A4"/>
          <w:szCs w:val="20"/>
        </w:rPr>
        <w:t xml:space="preserve">Maßgeblichen Einfluss auf die Wahl des Handschuhs nehmen das Spektrum der beruflichen Tätigkeiten und die damit verbundenen Expositionen zu Berufssubstanzen (z. B. Chemikalien). Darüber hinaus gilt es ebenfalls die Anforderungen des einzelnen Arbeitnehmers zu berücksichtigen, z. B. hinsichtlich des Tragekomforts eines Handschuhs, der Akzeptanz sowie möglicher Anforderungen an die Taktilität oder Beweglichkeit. </w:t>
      </w:r>
    </w:p>
    <w:p w14:paraId="1A317995" w14:textId="3728A026" w:rsidR="002D24A1" w:rsidRDefault="002D24A1" w:rsidP="001C5F99">
      <w:pPr>
        <w:spacing w:after="0"/>
        <w:rPr>
          <w:b/>
          <w:color w:val="75A9A4"/>
          <w:szCs w:val="20"/>
        </w:rPr>
      </w:pPr>
      <w:r w:rsidRPr="002D24A1">
        <w:rPr>
          <w:color w:val="75A9A4"/>
          <w:szCs w:val="20"/>
        </w:rPr>
        <w:t xml:space="preserve">Eine umfangreiche Checkliste für die Auswahl von Schutzhandschuhen stellt die Deutsche Gesetzliche Unfallversicherung (DGUV) in der </w:t>
      </w:r>
      <w:r w:rsidRPr="002D24A1">
        <w:rPr>
          <w:b/>
          <w:color w:val="75A9A4"/>
          <w:szCs w:val="20"/>
        </w:rPr>
        <w:t>DGUV Regel 112-195: Benutzung von Schutzhandschuhen</w:t>
      </w:r>
      <w:r w:rsidRPr="002D24A1">
        <w:rPr>
          <w:rStyle w:val="Funotenzeichen"/>
          <w:b/>
          <w:color w:val="75A9A4"/>
          <w:szCs w:val="20"/>
        </w:rPr>
        <w:footnoteReference w:id="1"/>
      </w:r>
      <w:r w:rsidRPr="002D24A1">
        <w:rPr>
          <w:color w:val="75A9A4"/>
          <w:szCs w:val="20"/>
        </w:rPr>
        <w:t xml:space="preserve"> zur Verfügung</w:t>
      </w:r>
      <w:r w:rsidR="00C9773F">
        <w:rPr>
          <w:b/>
          <w:color w:val="75A9A4"/>
          <w:szCs w:val="20"/>
        </w:rPr>
        <w:t>.</w:t>
      </w:r>
    </w:p>
    <w:p w14:paraId="6DBAED25" w14:textId="77777777" w:rsidR="00C9773F" w:rsidRPr="00C9773F" w:rsidRDefault="00C9773F" w:rsidP="001C5F99">
      <w:pPr>
        <w:rPr>
          <w:color w:val="75A9A4"/>
          <w:szCs w:val="20"/>
        </w:rPr>
      </w:pPr>
    </w:p>
    <w:p w14:paraId="07EB66D9" w14:textId="354957CC" w:rsidR="00935205" w:rsidRPr="000A368C" w:rsidRDefault="00935205" w:rsidP="001C5F99">
      <w:pPr>
        <w:spacing w:after="240"/>
        <w:outlineLvl w:val="0"/>
        <w:rPr>
          <w:rFonts w:ascii="Comic Sans MS" w:hAnsi="Comic Sans MS"/>
          <w:b/>
          <w:color w:val="808080" w:themeColor="background1" w:themeShade="80"/>
        </w:rPr>
      </w:pPr>
      <w:r w:rsidRPr="00935205">
        <w:rPr>
          <w:rFonts w:eastAsiaTheme="majorEastAsia" w:cstheme="majorBidi"/>
          <w:b/>
          <w:color w:val="72A7A4"/>
          <w:sz w:val="26"/>
          <w:szCs w:val="26"/>
        </w:rPr>
        <w:t>Schutzhandschuhe gegen mechanische Gefahren</w:t>
      </w:r>
    </w:p>
    <w:p w14:paraId="6CD5463B" w14:textId="07B8122F" w:rsidR="00935205" w:rsidRPr="00935205" w:rsidRDefault="0019793C" w:rsidP="001C5F99">
      <w:pPr>
        <w:tabs>
          <w:tab w:val="left" w:pos="4710"/>
        </w:tabs>
      </w:pPr>
      <w:r>
        <w:rPr>
          <w:noProof/>
          <w:lang w:eastAsia="de-DE"/>
        </w:rPr>
        <mc:AlternateContent>
          <mc:Choice Requires="wps">
            <w:drawing>
              <wp:anchor distT="45720" distB="45720" distL="114300" distR="114300" simplePos="0" relativeHeight="251677696" behindDoc="0" locked="0" layoutInCell="1" allowOverlap="1" wp14:anchorId="2A707154" wp14:editId="2D73C673">
                <wp:simplePos x="0" y="0"/>
                <wp:positionH relativeFrom="column">
                  <wp:posOffset>3185160</wp:posOffset>
                </wp:positionH>
                <wp:positionV relativeFrom="paragraph">
                  <wp:posOffset>441960</wp:posOffset>
                </wp:positionV>
                <wp:extent cx="809625" cy="352425"/>
                <wp:effectExtent l="0" t="0" r="28575" b="28575"/>
                <wp:wrapSquare wrapText="bothSides"/>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52425"/>
                        </a:xfrm>
                        <a:prstGeom prst="rect">
                          <a:avLst/>
                        </a:prstGeom>
                        <a:solidFill>
                          <a:srgbClr val="FFFFFF"/>
                        </a:solidFill>
                        <a:ln w="9525">
                          <a:solidFill>
                            <a:schemeClr val="bg1"/>
                          </a:solidFill>
                          <a:miter lim="800000"/>
                          <a:headEnd/>
                          <a:tailEnd/>
                        </a:ln>
                      </wps:spPr>
                      <wps:txbx>
                        <w:txbxContent>
                          <w:p w14:paraId="6845B468" w14:textId="77777777" w:rsidR="008A4963" w:rsidRDefault="008A4963" w:rsidP="008A4963">
                            <w:pPr>
                              <w:tabs>
                                <w:tab w:val="left" w:pos="4710"/>
                              </w:tabs>
                              <w:spacing w:after="0"/>
                              <w:jc w:val="both"/>
                              <w:rPr>
                                <w:color w:val="75A9A4"/>
                                <w:sz w:val="18"/>
                                <w:szCs w:val="18"/>
                              </w:rPr>
                            </w:pPr>
                            <w:r w:rsidRPr="008A4963">
                              <w:rPr>
                                <w:color w:val="75A9A4"/>
                                <w:sz w:val="18"/>
                                <w:szCs w:val="18"/>
                              </w:rPr>
                              <w:t>DIN EN 388:</w:t>
                            </w:r>
                          </w:p>
                          <w:p w14:paraId="7F86F62E" w14:textId="5526E826" w:rsidR="008A4963" w:rsidRPr="008A4963" w:rsidRDefault="008A4963" w:rsidP="008A4963">
                            <w:pPr>
                              <w:tabs>
                                <w:tab w:val="left" w:pos="4710"/>
                              </w:tabs>
                              <w:spacing w:after="0"/>
                              <w:jc w:val="both"/>
                              <w:rPr>
                                <w:color w:val="75A9A4"/>
                                <w:sz w:val="18"/>
                                <w:szCs w:val="18"/>
                              </w:rPr>
                            </w:pPr>
                            <w:r w:rsidRPr="008A4963">
                              <w:rPr>
                                <w:color w:val="75A9A4"/>
                                <w:sz w:val="18"/>
                                <w:szCs w:val="18"/>
                              </w:rPr>
                              <w:t>2003</w:t>
                            </w:r>
                          </w:p>
                          <w:p w14:paraId="64CA4031" w14:textId="6A029124" w:rsidR="008A4963" w:rsidRDefault="008A49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707154" id="_x0000_t202" coordsize="21600,21600" o:spt="202" path="m,l,21600r21600,l21600,xe">
                <v:stroke joinstyle="miter"/>
                <v:path gradientshapeok="t" o:connecttype="rect"/>
              </v:shapetype>
              <v:shape id="Textfeld 2" o:spid="_x0000_s1026" type="#_x0000_t202" style="position:absolute;margin-left:250.8pt;margin-top:34.8pt;width:63.75pt;height:27.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" strokecolor="white [3212]">
                <v:textbox>
                  <w:txbxContent>
                    <w:p w14:paraId="6845B468" w14:textId="77777777" w:rsidR="008A4963" w:rsidRDefault="008A4963" w:rsidP="008A4963">
                      <w:pPr>
                        <w:tabs>
                          <w:tab w:val="left" w:pos="4710"/>
                        </w:tabs>
                        <w:spacing w:after="0"/>
                        <w:jc w:val="both"/>
                        <w:rPr>
                          <w:color w:val="75A9A4"/>
                          <w:sz w:val="18"/>
                          <w:szCs w:val="18"/>
                        </w:rPr>
                      </w:pPr>
                      <w:r w:rsidRPr="008A4963">
                        <w:rPr>
                          <w:color w:val="75A9A4"/>
                          <w:sz w:val="18"/>
                          <w:szCs w:val="18"/>
                        </w:rPr>
                        <w:t>DIN EN 388:</w:t>
                      </w:r>
                    </w:p>
                    <w:p w14:paraId="7F86F62E" w14:textId="5526E826" w:rsidR="008A4963" w:rsidRPr="008A4963" w:rsidRDefault="008A4963" w:rsidP="008A4963">
                      <w:pPr>
                        <w:tabs>
                          <w:tab w:val="left" w:pos="4710"/>
                        </w:tabs>
                        <w:spacing w:after="0"/>
                        <w:jc w:val="both"/>
                        <w:rPr>
                          <w:color w:val="75A9A4"/>
                          <w:sz w:val="18"/>
                          <w:szCs w:val="18"/>
                        </w:rPr>
                      </w:pPr>
                      <w:r w:rsidRPr="008A4963">
                        <w:rPr>
                          <w:color w:val="75A9A4"/>
                          <w:sz w:val="18"/>
                          <w:szCs w:val="18"/>
                        </w:rPr>
                        <w:t>2003</w:t>
                      </w:r>
                    </w:p>
                    <w:p w14:paraId="64CA4031" w14:textId="6A029124" w:rsidR="008A4963" w:rsidRDefault="008A4963"/>
                  </w:txbxContent>
                </v:textbox>
                <w10:wrap type="square"/>
              </v:shape>
            </w:pict>
          </mc:Fallback>
        </mc:AlternateContent>
      </w:r>
      <w:r w:rsidR="00935205" w:rsidRPr="00935205">
        <w:t xml:space="preserve">Handschuhe mit dem Piktogramm (Symbol) „Hammer“ eignen sich für Montagearbeiten oder allgemeine Wartungs- und Reparaturarbeiten zum Schutz vor mechanischen Gefahren. </w:t>
      </w:r>
    </w:p>
    <w:p w14:paraId="4CF43680" w14:textId="4BA62A78" w:rsidR="00935205" w:rsidRDefault="00935205" w:rsidP="001C5F99">
      <w:pPr>
        <w:tabs>
          <w:tab w:val="left" w:pos="4710"/>
        </w:tabs>
      </w:pPr>
      <w:r w:rsidRPr="00935205">
        <w:rPr>
          <w:b/>
        </w:rPr>
        <w:t xml:space="preserve">Achtung: </w:t>
      </w:r>
      <w:r w:rsidRPr="00935205">
        <w:t>Schutzhandschuhe, die nur vor mechanischen Einflüssen schützen, eignen sich nicht für den Umgang mit Chemikalien (z. B. Reinigungsmittel und Epoxidharze). Diese können, z. B. durch Nähte, ins Handschuhinnere und auf die Haut gelangen.</w:t>
      </w:r>
    </w:p>
    <w:p w14:paraId="4E40ABC2" w14:textId="75982EB8" w:rsidR="002D24A1" w:rsidRPr="002D24A1" w:rsidRDefault="002D24A1" w:rsidP="001C5F99">
      <w:pPr>
        <w:tabs>
          <w:tab w:val="left" w:pos="4710"/>
        </w:tabs>
        <w:rPr>
          <w:color w:val="75A9A4"/>
          <w:szCs w:val="20"/>
        </w:rPr>
      </w:pPr>
      <w:r w:rsidRPr="002D24A1">
        <w:rPr>
          <w:color w:val="75A9A4"/>
          <w:szCs w:val="20"/>
        </w:rPr>
        <w:t>Zusätzlich kann hier das Experiment „MECHANISCHE SCHUTZHANDSCHUHE – kein Schutz vor Flüssigkeiten und Chemikalien!“ durchgeführt werden. Eine Anleitung für Schüler und eine Lehrerinformation finden Sie bei den Experimentkarten.</w:t>
      </w:r>
    </w:p>
    <w:p w14:paraId="793B133F" w14:textId="6A4533FD" w:rsidR="002D24A1" w:rsidRPr="002D24A1" w:rsidRDefault="002D24A1" w:rsidP="001C5F99">
      <w:pPr>
        <w:tabs>
          <w:tab w:val="left" w:pos="4710"/>
        </w:tabs>
        <w:rPr>
          <w:color w:val="75A9A4"/>
          <w:szCs w:val="20"/>
        </w:rPr>
      </w:pPr>
      <w:r w:rsidRPr="002D24A1">
        <w:rPr>
          <w:color w:val="75A9A4"/>
          <w:szCs w:val="20"/>
        </w:rPr>
        <w:t xml:space="preserve">Schutzhandschuhe gegen mechanische Belastungen werden gemäß der DIN EN 388 / ISO 13997 geprüft. Unter dem Piktogramm aufgeführte Zahlen konkretisieren die Schutzleistungen des jeweiligen Handschuhs – je höher ein Wert, desto höher die unter Laborbedingungen ermittelte Schutzleitung: </w:t>
      </w:r>
    </w:p>
    <w:p w14:paraId="6A5E4CB3" w14:textId="77777777" w:rsidR="002D24A1" w:rsidRPr="002D24A1" w:rsidRDefault="002D24A1" w:rsidP="001C5F99">
      <w:pPr>
        <w:tabs>
          <w:tab w:val="left" w:pos="1276"/>
          <w:tab w:val="left" w:pos="4710"/>
        </w:tabs>
        <w:contextualSpacing/>
        <w:rPr>
          <w:color w:val="75A9A4"/>
          <w:szCs w:val="20"/>
        </w:rPr>
      </w:pPr>
      <w:r w:rsidRPr="002D24A1">
        <w:rPr>
          <w:color w:val="75A9A4"/>
          <w:szCs w:val="20"/>
        </w:rPr>
        <w:t xml:space="preserve">Erste Zahl: </w:t>
      </w:r>
      <w:r w:rsidRPr="002D24A1">
        <w:rPr>
          <w:color w:val="75A9A4"/>
          <w:szCs w:val="20"/>
        </w:rPr>
        <w:tab/>
        <w:t>Abriebfestigkeit (Level 1 bis 4)</w:t>
      </w:r>
    </w:p>
    <w:p w14:paraId="3EB14FC3" w14:textId="77777777" w:rsidR="002D24A1" w:rsidRPr="002D24A1" w:rsidRDefault="002D24A1" w:rsidP="001C5F99">
      <w:pPr>
        <w:tabs>
          <w:tab w:val="left" w:pos="1276"/>
          <w:tab w:val="left" w:pos="4710"/>
        </w:tabs>
        <w:ind w:left="1276" w:hanging="1276"/>
        <w:contextualSpacing/>
        <w:rPr>
          <w:color w:val="75A9A4"/>
          <w:szCs w:val="20"/>
        </w:rPr>
      </w:pPr>
      <w:r w:rsidRPr="002D24A1">
        <w:rPr>
          <w:color w:val="75A9A4"/>
          <w:szCs w:val="20"/>
        </w:rPr>
        <w:t xml:space="preserve">Zweite Zahl: </w:t>
      </w:r>
      <w:r w:rsidRPr="002D24A1">
        <w:rPr>
          <w:color w:val="75A9A4"/>
          <w:szCs w:val="20"/>
        </w:rPr>
        <w:tab/>
        <w:t>Schnittfestigkeit nach Coupe-Test (Level 1-5)</w:t>
      </w:r>
    </w:p>
    <w:p w14:paraId="334DB26C" w14:textId="77777777" w:rsidR="002D24A1" w:rsidRPr="002D24A1" w:rsidRDefault="002D24A1" w:rsidP="001C5F99">
      <w:pPr>
        <w:tabs>
          <w:tab w:val="left" w:pos="1276"/>
          <w:tab w:val="left" w:pos="4710"/>
        </w:tabs>
        <w:contextualSpacing/>
        <w:rPr>
          <w:color w:val="75A9A4"/>
          <w:szCs w:val="20"/>
        </w:rPr>
      </w:pPr>
      <w:r w:rsidRPr="002D24A1">
        <w:rPr>
          <w:color w:val="75A9A4"/>
          <w:szCs w:val="20"/>
        </w:rPr>
        <w:t xml:space="preserve">Dritte Zahl: </w:t>
      </w:r>
      <w:r w:rsidRPr="002D24A1">
        <w:rPr>
          <w:color w:val="75A9A4"/>
          <w:szCs w:val="20"/>
        </w:rPr>
        <w:tab/>
        <w:t>Weiterreißfestigkeit (Level 1 bis 4)</w:t>
      </w:r>
    </w:p>
    <w:p w14:paraId="46C2B71F" w14:textId="77777777" w:rsidR="002D24A1" w:rsidRPr="002D24A1" w:rsidRDefault="002D24A1" w:rsidP="001C5F99">
      <w:pPr>
        <w:tabs>
          <w:tab w:val="left" w:pos="1276"/>
          <w:tab w:val="left" w:pos="4710"/>
        </w:tabs>
        <w:contextualSpacing/>
        <w:rPr>
          <w:color w:val="75A9A4"/>
          <w:szCs w:val="20"/>
        </w:rPr>
      </w:pPr>
      <w:r w:rsidRPr="002D24A1">
        <w:rPr>
          <w:color w:val="75A9A4"/>
          <w:szCs w:val="20"/>
        </w:rPr>
        <w:t xml:space="preserve">Vierte Zahl: </w:t>
      </w:r>
      <w:r w:rsidRPr="002D24A1">
        <w:rPr>
          <w:color w:val="75A9A4"/>
          <w:szCs w:val="20"/>
        </w:rPr>
        <w:tab/>
        <w:t>Durchstichfestigkeit (Level 1 bis 4)</w:t>
      </w:r>
    </w:p>
    <w:p w14:paraId="36F7EA97" w14:textId="77777777" w:rsidR="002D24A1" w:rsidRPr="002D24A1" w:rsidRDefault="002D24A1" w:rsidP="001C5F99">
      <w:pPr>
        <w:tabs>
          <w:tab w:val="left" w:pos="1276"/>
          <w:tab w:val="left" w:pos="2552"/>
        </w:tabs>
        <w:ind w:left="1276" w:hanging="1276"/>
        <w:contextualSpacing/>
        <w:rPr>
          <w:color w:val="75A9A4"/>
          <w:szCs w:val="20"/>
        </w:rPr>
      </w:pPr>
      <w:r w:rsidRPr="002D24A1">
        <w:rPr>
          <w:color w:val="75A9A4"/>
          <w:szCs w:val="20"/>
        </w:rPr>
        <w:t xml:space="preserve">5. Stelle: </w:t>
      </w:r>
      <w:r w:rsidRPr="002D24A1">
        <w:rPr>
          <w:color w:val="75A9A4"/>
          <w:szCs w:val="20"/>
        </w:rPr>
        <w:tab/>
        <w:t>Buchstabe: Schnittfestigkeit nach ISO 13997 (Level A bis F)</w:t>
      </w:r>
    </w:p>
    <w:p w14:paraId="5FEF83E3" w14:textId="77777777" w:rsidR="002D24A1" w:rsidRPr="002D24A1" w:rsidRDefault="002D24A1" w:rsidP="001C5F99">
      <w:pPr>
        <w:tabs>
          <w:tab w:val="left" w:pos="1560"/>
          <w:tab w:val="left" w:pos="4710"/>
        </w:tabs>
        <w:contextualSpacing/>
        <w:rPr>
          <w:color w:val="75A9A4"/>
          <w:szCs w:val="20"/>
        </w:rPr>
      </w:pPr>
      <w:r w:rsidRPr="002D24A1">
        <w:rPr>
          <w:color w:val="75A9A4"/>
          <w:szCs w:val="20"/>
        </w:rPr>
        <w:t>Optional:</w:t>
      </w:r>
    </w:p>
    <w:p w14:paraId="0444DDB3" w14:textId="48F41BD3" w:rsidR="002D24A1" w:rsidRDefault="002D24A1" w:rsidP="0019793C">
      <w:pPr>
        <w:tabs>
          <w:tab w:val="left" w:pos="1276"/>
          <w:tab w:val="left" w:pos="4710"/>
        </w:tabs>
        <w:ind w:left="1276" w:hanging="1276"/>
        <w:contextualSpacing/>
        <w:rPr>
          <w:color w:val="75A9A4"/>
          <w:szCs w:val="20"/>
        </w:rPr>
      </w:pPr>
      <w:r w:rsidRPr="002D24A1">
        <w:rPr>
          <w:color w:val="75A9A4"/>
          <w:szCs w:val="20"/>
        </w:rPr>
        <w:t xml:space="preserve">6. Stelle: </w:t>
      </w:r>
      <w:r w:rsidRPr="002D24A1">
        <w:rPr>
          <w:color w:val="75A9A4"/>
          <w:szCs w:val="20"/>
        </w:rPr>
        <w:tab/>
        <w:t>Buchstabe: Schutz vor Stoßeinwirkung (wenn bestanden: Buchstabe P)</w:t>
      </w:r>
    </w:p>
    <w:p w14:paraId="5FC501FB" w14:textId="6F421C59" w:rsidR="008A4963" w:rsidRPr="008A4963" w:rsidRDefault="0019793C" w:rsidP="001C5F99">
      <w:pPr>
        <w:tabs>
          <w:tab w:val="left" w:pos="4710"/>
        </w:tabs>
        <w:contextualSpacing/>
        <w:rPr>
          <w:color w:val="75A9A4"/>
          <w:szCs w:val="20"/>
        </w:rPr>
      </w:pPr>
      <w:r>
        <w:rPr>
          <w:noProof/>
          <w:lang w:eastAsia="de-DE"/>
        </w:rPr>
        <mc:AlternateContent>
          <mc:Choice Requires="wps">
            <w:drawing>
              <wp:anchor distT="45720" distB="45720" distL="114300" distR="114300" simplePos="0" relativeHeight="251679744" behindDoc="0" locked="0" layoutInCell="1" allowOverlap="1" wp14:anchorId="691FC00F" wp14:editId="75E46035">
                <wp:simplePos x="0" y="0"/>
                <wp:positionH relativeFrom="column">
                  <wp:posOffset>897255</wp:posOffset>
                </wp:positionH>
                <wp:positionV relativeFrom="paragraph">
                  <wp:posOffset>1238885</wp:posOffset>
                </wp:positionV>
                <wp:extent cx="1028700" cy="923925"/>
                <wp:effectExtent l="0" t="0" r="19050" b="28575"/>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923925"/>
                        </a:xfrm>
                        <a:prstGeom prst="rect">
                          <a:avLst/>
                        </a:prstGeom>
                        <a:solidFill>
                          <a:srgbClr val="FFFFFF"/>
                        </a:solidFill>
                        <a:ln w="9525">
                          <a:solidFill>
                            <a:schemeClr val="bg1"/>
                          </a:solidFill>
                          <a:miter lim="800000"/>
                          <a:headEnd/>
                          <a:tailEnd/>
                        </a:ln>
                      </wps:spPr>
                      <wps:txbx>
                        <w:txbxContent>
                          <w:p w14:paraId="77479D81" w14:textId="53716AAB" w:rsidR="008A4963" w:rsidRPr="008A4963" w:rsidRDefault="008A4963" w:rsidP="008A4963">
                            <w:pPr>
                              <w:rPr>
                                <w:color w:val="75A9A4"/>
                                <w:sz w:val="18"/>
                                <w:szCs w:val="18"/>
                              </w:rPr>
                            </w:pPr>
                            <w:r w:rsidRPr="008A4963">
                              <w:rPr>
                                <w:color w:val="75A9A4"/>
                                <w:sz w:val="18"/>
                                <w:szCs w:val="18"/>
                              </w:rPr>
                              <w:t>DIN EN 388: 2016 mit Prüfung der Schnittfestigkeit nach ISO 13997 (hier: Buchstabe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1FC00F" id="_x0000_s1027" type="#_x0000_t202" style="position:absolute;margin-left:70.65pt;margin-top:97.55pt;width:81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" strokecolor="white [3212]">
                <v:textbox>
                  <w:txbxContent>
                    <w:p w14:paraId="77479D81" w14:textId="53716AAB" w:rsidR="008A4963" w:rsidRPr="008A4963" w:rsidRDefault="008A4963" w:rsidP="008A4963">
                      <w:pPr>
                        <w:rPr>
                          <w:color w:val="75A9A4"/>
                          <w:sz w:val="18"/>
                          <w:szCs w:val="18"/>
                        </w:rPr>
                      </w:pPr>
                      <w:r w:rsidRPr="008A4963">
                        <w:rPr>
                          <w:color w:val="75A9A4"/>
                          <w:sz w:val="18"/>
                          <w:szCs w:val="18"/>
                        </w:rPr>
                        <w:t>DIN EN 388: 2016 mit Prüfung der Schnittfestigkeit nach ISO 13997 (hier: Buchstabe „D“)</w:t>
                      </w:r>
                    </w:p>
                  </w:txbxContent>
                </v:textbox>
                <w10:wrap type="square"/>
              </v:shape>
            </w:pict>
          </mc:Fallback>
        </mc:AlternateContent>
      </w:r>
      <w:r w:rsidR="00C9773F" w:rsidRPr="008A4963">
        <w:rPr>
          <w:noProof/>
          <w:lang w:eastAsia="de-DE"/>
        </w:rPr>
        <w:drawing>
          <wp:anchor distT="0" distB="0" distL="114300" distR="114300" simplePos="0" relativeHeight="251674624" behindDoc="0" locked="0" layoutInCell="1" allowOverlap="1" wp14:anchorId="68EC4938" wp14:editId="03AD0711">
            <wp:simplePos x="0" y="0"/>
            <wp:positionH relativeFrom="column">
              <wp:posOffset>2030730</wp:posOffset>
            </wp:positionH>
            <wp:positionV relativeFrom="paragraph">
              <wp:posOffset>324485</wp:posOffset>
            </wp:positionV>
            <wp:extent cx="876300" cy="902970"/>
            <wp:effectExtent l="0" t="0" r="0" b="0"/>
            <wp:wrapSquare wrapText="bothSides"/>
            <wp:docPr id="26" name="Grafik 26" descr="\\DERMASERV2\Datenbanken\Pädagogendatenbank\Netzdaten\EpoxSafeAtSchool1\Materialentwicklung\Arbeitsblätter, Texte etc\Marc\FERTIG\Texte\EN 388 mit 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MASERV2\Datenbanken\Pädagogendatenbank\Netzdaten\EpoxSafeAtSchool1\Materialentwicklung\Arbeitsblätter, Texte etc\Marc\FERTIG\Texte\EN 388 mit P.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72" t="1942" r="7748" b="11993"/>
                    <a:stretch/>
                  </pic:blipFill>
                  <pic:spPr bwMode="auto">
                    <a:xfrm>
                      <a:off x="0" y="0"/>
                      <a:ext cx="876300" cy="9029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9773F" w:rsidRPr="008A4963">
        <w:rPr>
          <w:noProof/>
          <w:lang w:eastAsia="de-DE"/>
        </w:rPr>
        <w:drawing>
          <wp:anchor distT="0" distB="0" distL="114300" distR="114300" simplePos="0" relativeHeight="251673600" behindDoc="0" locked="0" layoutInCell="1" allowOverlap="1" wp14:anchorId="7FEAA897" wp14:editId="56DFF29B">
            <wp:simplePos x="0" y="0"/>
            <wp:positionH relativeFrom="column">
              <wp:posOffset>1029970</wp:posOffset>
            </wp:positionH>
            <wp:positionV relativeFrom="paragraph">
              <wp:posOffset>324485</wp:posOffset>
            </wp:positionV>
            <wp:extent cx="771525" cy="952500"/>
            <wp:effectExtent l="0" t="0" r="9525" b="0"/>
            <wp:wrapSquare wrapText="bothSides"/>
            <wp:docPr id="25" name="Grafik 25" descr="\\DERMASERV2\Datenbanken\Pädagogendatenbank\Netzdaten\EpoxSafeAtSchool1\Materialentwicklung\Arbeitsblätter, Texte etc\Marc\FERTIG\Texte\EN 388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RMASERV2\Datenbanken\Pädagogendatenbank\Netzdaten\EpoxSafeAtSchool1\Materialentwicklung\Arbeitsblätter, Texte etc\Marc\FERTIG\Texte\EN 388 2016.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909" t="15884" r="13636" b="7780"/>
                    <a:stretch/>
                  </pic:blipFill>
                  <pic:spPr bwMode="auto">
                    <a:xfrm>
                      <a:off x="0" y="0"/>
                      <a:ext cx="771525" cy="952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07576">
        <w:rPr>
          <w:rFonts w:ascii="Comic Sans MS" w:hAnsi="Comic Sans MS"/>
          <w:noProof/>
          <w:color w:val="4472C4" w:themeColor="accent1"/>
          <w:lang w:eastAsia="de-DE"/>
        </w:rPr>
        <w:drawing>
          <wp:anchor distT="0" distB="0" distL="114300" distR="114300" simplePos="0" relativeHeight="251675648" behindDoc="0" locked="0" layoutInCell="1" allowOverlap="1" wp14:anchorId="53DE009A" wp14:editId="78F2CF80">
            <wp:simplePos x="0" y="0"/>
            <wp:positionH relativeFrom="column">
              <wp:align>left</wp:align>
            </wp:positionH>
            <wp:positionV relativeFrom="paragraph">
              <wp:posOffset>320675</wp:posOffset>
            </wp:positionV>
            <wp:extent cx="694690" cy="952500"/>
            <wp:effectExtent l="0" t="0" r="0" b="0"/>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N_388_2016_DE.jpg"/>
                    <pic:cNvPicPr/>
                  </pic:nvPicPr>
                  <pic:blipFill rotWithShape="1">
                    <a:blip r:embed="rId10" cstate="print">
                      <a:extLst>
                        <a:ext uri="{28A0092B-C50C-407E-A947-70E740481C1C}">
                          <a14:useLocalDpi xmlns:a14="http://schemas.microsoft.com/office/drawing/2010/main" val="0"/>
                        </a:ext>
                      </a:extLst>
                    </a:blip>
                    <a:srcRect l="6393" t="7653" r="68034" b="53087"/>
                    <a:stretch/>
                  </pic:blipFill>
                  <pic:spPr bwMode="auto">
                    <a:xfrm>
                      <a:off x="0" y="0"/>
                      <a:ext cx="696513" cy="95460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4963" w:rsidRPr="008A4963">
        <w:rPr>
          <w:color w:val="75A9A4"/>
          <w:szCs w:val="20"/>
        </w:rPr>
        <w:t xml:space="preserve">Piktogramme der EN 388 – verschiedene Varianten im zeitlichen Verlauf (2003 – 2016). </w:t>
      </w:r>
    </w:p>
    <w:p w14:paraId="022BA77C" w14:textId="12740387" w:rsidR="008A4963" w:rsidRDefault="0019793C" w:rsidP="001C5F99">
      <w:pPr>
        <w:tabs>
          <w:tab w:val="left" w:pos="4710"/>
        </w:tabs>
        <w:rPr>
          <w:color w:val="75A9A4"/>
          <w:szCs w:val="20"/>
        </w:rPr>
      </w:pPr>
      <w:r>
        <w:rPr>
          <w:noProof/>
          <w:lang w:eastAsia="de-DE"/>
        </w:rPr>
        <mc:AlternateContent>
          <mc:Choice Requires="wps">
            <w:drawing>
              <wp:anchor distT="45720" distB="45720" distL="114300" distR="114300" simplePos="0" relativeHeight="251681792" behindDoc="0" locked="0" layoutInCell="1" allowOverlap="1" wp14:anchorId="2EEE22B0" wp14:editId="3DA3447A">
                <wp:simplePos x="0" y="0"/>
                <wp:positionH relativeFrom="column">
                  <wp:posOffset>1954530</wp:posOffset>
                </wp:positionH>
                <wp:positionV relativeFrom="paragraph">
                  <wp:posOffset>953135</wp:posOffset>
                </wp:positionV>
                <wp:extent cx="1162050" cy="1323975"/>
                <wp:effectExtent l="0" t="0" r="19050" b="28575"/>
                <wp:wrapSquare wrapText="bothSides"/>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323975"/>
                        </a:xfrm>
                        <a:prstGeom prst="rect">
                          <a:avLst/>
                        </a:prstGeom>
                        <a:solidFill>
                          <a:srgbClr val="FFFFFF"/>
                        </a:solidFill>
                        <a:ln w="9525">
                          <a:solidFill>
                            <a:schemeClr val="bg1"/>
                          </a:solidFill>
                          <a:miter lim="800000"/>
                          <a:headEnd/>
                          <a:tailEnd/>
                        </a:ln>
                      </wps:spPr>
                      <wps:txbx>
                        <w:txbxContent>
                          <w:p w14:paraId="27C4DE4A" w14:textId="706B2286" w:rsidR="008A4963" w:rsidRPr="008A4963" w:rsidRDefault="008A4963" w:rsidP="008A4963">
                            <w:pPr>
                              <w:rPr>
                                <w:color w:val="75A9A4"/>
                                <w:sz w:val="18"/>
                                <w:szCs w:val="18"/>
                              </w:rPr>
                            </w:pPr>
                            <w:r w:rsidRPr="008A4963">
                              <w:rPr>
                                <w:color w:val="75A9A4"/>
                                <w:sz w:val="18"/>
                                <w:szCs w:val="18"/>
                              </w:rPr>
                              <w:t>DIN EN 388 (2016) mit Prüfung der Schnittfestigkeit nach ISO 13997 (hier: Buchstabe „D“) und Schutz vor Stoßeinwirkung nach EN 13594 (Buchstabe „P“)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EE22B0" id="_x0000_s1028" type="#_x0000_t202" style="position:absolute;margin-left:153.9pt;margin-top:75.05pt;width:91.5pt;height:104.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" strokecolor="white [3212]">
                <v:textbox>
                  <w:txbxContent>
                    <w:p w14:paraId="27C4DE4A" w14:textId="706B2286" w:rsidR="008A4963" w:rsidRPr="008A4963" w:rsidRDefault="008A4963" w:rsidP="008A4963">
                      <w:pPr>
                        <w:rPr>
                          <w:color w:val="75A9A4"/>
                          <w:sz w:val="18"/>
                          <w:szCs w:val="18"/>
                        </w:rPr>
                      </w:pPr>
                      <w:r w:rsidRPr="008A4963">
                        <w:rPr>
                          <w:color w:val="75A9A4"/>
                          <w:sz w:val="18"/>
                          <w:szCs w:val="18"/>
                        </w:rPr>
                        <w:t>DIN EN 388 (2016) mit Prüfung der Schnittfestigkeit nach ISO 13997 (hier: Buchstabe „D“) und Schutz vor Stoßeinwirkung nach EN 13594 (Buchstabe „P“)</w:t>
                      </w:r>
                    </w:p>
                  </w:txbxContent>
                </v:textbox>
                <w10:wrap type="square"/>
              </v:shape>
            </w:pict>
          </mc:Fallback>
        </mc:AlternateContent>
      </w:r>
    </w:p>
    <w:p w14:paraId="131CBF79" w14:textId="39BC1E20" w:rsidR="002D24A1" w:rsidRDefault="002D24A1" w:rsidP="001C5F99">
      <w:pPr>
        <w:tabs>
          <w:tab w:val="left" w:pos="4710"/>
        </w:tabs>
      </w:pPr>
    </w:p>
    <w:p w14:paraId="676D85D8" w14:textId="77777777" w:rsidR="00E07576" w:rsidRDefault="00E07576" w:rsidP="001C5F99">
      <w:pPr>
        <w:tabs>
          <w:tab w:val="left" w:pos="4710"/>
        </w:tabs>
      </w:pPr>
    </w:p>
    <w:p w14:paraId="65DD6B56" w14:textId="77777777" w:rsidR="00E07576" w:rsidRPr="00E07576" w:rsidRDefault="00E07576" w:rsidP="001C5F99">
      <w:pPr>
        <w:tabs>
          <w:tab w:val="left" w:pos="4710"/>
        </w:tabs>
        <w:contextualSpacing/>
        <w:rPr>
          <w:color w:val="75A9A4"/>
          <w:szCs w:val="20"/>
        </w:rPr>
      </w:pPr>
      <w:r w:rsidRPr="00E07576">
        <w:rPr>
          <w:color w:val="75A9A4"/>
          <w:szCs w:val="20"/>
        </w:rPr>
        <w:lastRenderedPageBreak/>
        <w:t xml:space="preserve">Im Zuge der Überarbeitung der DIN EN 388 im Jahr 2016 wurden der oben aufgeführten Kennzeichnung zwei weitere Tests hinzugefügt. Dabei handelt es sich um ein ergänzendes Verfahren zur Bestimmung der Schnittfestigkeit und zum Schutz vor Stoßeinwirkungen. Der ermittelte Wert wird nicht mehr als Zahl an zweiter Stelle, sondern als Buchstabe (A bis F) an fünfter Stelle der Reihe angeführt. In der Regel ist in diesem Fall die „Schnittfestigkeit nach Coupe-Test“ (zweite Zahl) durch ein „X“ (= nicht getestet) gekennzeichnet. </w:t>
      </w:r>
    </w:p>
    <w:p w14:paraId="7A6BA961" w14:textId="77777777" w:rsidR="00E07576" w:rsidRPr="00E07576" w:rsidRDefault="00E07576" w:rsidP="001C5F99">
      <w:pPr>
        <w:tabs>
          <w:tab w:val="left" w:pos="4710"/>
        </w:tabs>
        <w:contextualSpacing/>
        <w:rPr>
          <w:color w:val="75A9A4"/>
          <w:szCs w:val="20"/>
        </w:rPr>
      </w:pPr>
    </w:p>
    <w:p w14:paraId="0F4DDC63" w14:textId="77777777" w:rsidR="00E07576" w:rsidRPr="00E07576" w:rsidRDefault="00E07576" w:rsidP="001C5F99">
      <w:pPr>
        <w:tabs>
          <w:tab w:val="left" w:pos="4710"/>
        </w:tabs>
        <w:contextualSpacing/>
        <w:rPr>
          <w:color w:val="75A9A4"/>
          <w:szCs w:val="20"/>
        </w:rPr>
      </w:pPr>
      <w:r w:rsidRPr="00E07576">
        <w:rPr>
          <w:color w:val="75A9A4"/>
          <w:szCs w:val="20"/>
        </w:rPr>
        <w:t xml:space="preserve">Weitere Informationen zur Auswahl und Verwendung von Schutzhandschuhen sind z. B. in der </w:t>
      </w:r>
      <w:r w:rsidRPr="00E07576">
        <w:rPr>
          <w:b/>
          <w:color w:val="75A9A4"/>
          <w:szCs w:val="20"/>
        </w:rPr>
        <w:t>DGUV Regel 112-195: Benutzung von Schutzhandschuhen</w:t>
      </w:r>
      <w:r w:rsidRPr="00E07576">
        <w:rPr>
          <w:color w:val="75A9A4"/>
          <w:szCs w:val="20"/>
        </w:rPr>
        <w:t xml:space="preserve"> sowie bei verschiedenen Handschuhherstellern zu finden. </w:t>
      </w:r>
    </w:p>
    <w:p w14:paraId="5F93F2B8" w14:textId="77777777" w:rsidR="002D24A1" w:rsidRPr="00935205" w:rsidRDefault="002D24A1" w:rsidP="001C5F99">
      <w:pPr>
        <w:tabs>
          <w:tab w:val="left" w:pos="4710"/>
        </w:tabs>
      </w:pPr>
    </w:p>
    <w:p w14:paraId="77F34212" w14:textId="047AB070" w:rsidR="002C1E6C" w:rsidRPr="002C1E6C" w:rsidRDefault="002C1E6C" w:rsidP="001C5F99">
      <w:pPr>
        <w:outlineLvl w:val="0"/>
        <w:rPr>
          <w:rFonts w:eastAsiaTheme="majorEastAsia" w:cstheme="majorBidi"/>
          <w:b/>
          <w:color w:val="72A7A4"/>
          <w:sz w:val="26"/>
          <w:szCs w:val="26"/>
        </w:rPr>
      </w:pPr>
      <w:r w:rsidRPr="002C1E6C">
        <w:rPr>
          <w:rFonts w:eastAsiaTheme="majorEastAsia" w:cstheme="majorBidi"/>
          <w:b/>
          <w:color w:val="72A7A4"/>
          <w:sz w:val="26"/>
          <w:szCs w:val="26"/>
        </w:rPr>
        <w:t>Schutz gegen chemische Gefahren</w:t>
      </w:r>
    </w:p>
    <w:p w14:paraId="4A3AACE4" w14:textId="77777777" w:rsidR="002C1E6C" w:rsidRDefault="002C1E6C" w:rsidP="001C5F99">
      <w:pPr>
        <w:tabs>
          <w:tab w:val="left" w:pos="4710"/>
        </w:tabs>
      </w:pPr>
      <w:r w:rsidRPr="002C1E6C">
        <w:t>Chemikalienschutzhandschuhe werden zum Schutz vor Flüssigkeiten und Chemikalien eingesetzt. Dazu zählen z. B. Reinigungsmittel und Epoxidharze. Chemikalienschutzhandschuhe sind „wasserdicht“ und können aus verschiedenen Materialien bestehen, z. B. „Latex“, „Nitril“ oder „Butyl“.</w:t>
      </w:r>
    </w:p>
    <w:p w14:paraId="4D90F036" w14:textId="77777777" w:rsidR="0019793C" w:rsidRPr="002C1E6C" w:rsidRDefault="0019793C" w:rsidP="0019793C">
      <w:pPr>
        <w:tabs>
          <w:tab w:val="left" w:pos="4710"/>
        </w:tabs>
        <w:spacing w:after="0"/>
      </w:pPr>
    </w:p>
    <w:p w14:paraId="168FBC9F" w14:textId="77777777" w:rsidR="00E07576" w:rsidRPr="00E07576" w:rsidRDefault="00E07576" w:rsidP="001C5F99">
      <w:pPr>
        <w:tabs>
          <w:tab w:val="left" w:pos="4710"/>
        </w:tabs>
        <w:rPr>
          <w:color w:val="75A9A4"/>
          <w:szCs w:val="20"/>
        </w:rPr>
      </w:pPr>
      <w:r w:rsidRPr="00E07576">
        <w:rPr>
          <w:color w:val="75A9A4"/>
          <w:szCs w:val="20"/>
        </w:rPr>
        <w:t xml:space="preserve">Mittlerweile existiert eine große Anzahl verschiedener Chemikalienschutzhandschuhe. Diese können sich hinsichtlich ihres Materials, der Länge, der Passform sowie der Schutzeigenschaften stark unterscheiden. Zwei Handschuhe, die ähnlich aussehen und aus dem gleichen Material (z. B. Nitril) bestehen, können trotzdem sehr unterschiedliche Schutzeigenschaften aufweisen. Die Schutzeigenschaften eines Chemikalienschutzhandschuhs müssen für jede Exposition – also jeden Arbeitsstoff, zu dem Kontakt besteht - neu bewertet werden. </w:t>
      </w:r>
    </w:p>
    <w:p w14:paraId="2343E958" w14:textId="1E8D1940" w:rsidR="00E07576" w:rsidRPr="00E07576" w:rsidRDefault="00E07576" w:rsidP="001C5F99">
      <w:pPr>
        <w:tabs>
          <w:tab w:val="left" w:pos="4710"/>
        </w:tabs>
        <w:rPr>
          <w:color w:val="75A9A4"/>
          <w:szCs w:val="20"/>
        </w:rPr>
      </w:pPr>
      <w:r w:rsidRPr="00E07576">
        <w:rPr>
          <w:color w:val="75A9A4"/>
          <w:szCs w:val="20"/>
        </w:rPr>
        <w:t xml:space="preserve">Die Deutsche Gesetzliche Unfallversicherung stellt auch zu diesem Thema umfangreiche Informationen zur Verfügung: </w:t>
      </w:r>
      <w:r w:rsidRPr="00E07576">
        <w:rPr>
          <w:b/>
          <w:color w:val="75A9A4"/>
          <w:szCs w:val="20"/>
        </w:rPr>
        <w:t>DGUV Information 212-007: Chemikalienschutzhandschuhe</w:t>
      </w:r>
      <w:r>
        <w:rPr>
          <w:rStyle w:val="Funotenzeichen"/>
          <w:b/>
          <w:color w:val="75A9A4"/>
          <w:szCs w:val="20"/>
        </w:rPr>
        <w:footnoteReference w:id="2"/>
      </w:r>
      <w:r w:rsidRPr="00E07576">
        <w:rPr>
          <w:color w:val="75A9A4"/>
          <w:szCs w:val="20"/>
        </w:rPr>
        <w:t xml:space="preserve">. </w:t>
      </w:r>
    </w:p>
    <w:p w14:paraId="7F5B96AD" w14:textId="77777777" w:rsidR="00E07576" w:rsidRPr="00E07576" w:rsidRDefault="00E07576" w:rsidP="001C5F99">
      <w:pPr>
        <w:tabs>
          <w:tab w:val="left" w:pos="4710"/>
        </w:tabs>
        <w:rPr>
          <w:color w:val="75A9A4"/>
          <w:szCs w:val="20"/>
        </w:rPr>
      </w:pPr>
      <w:r w:rsidRPr="00E07576">
        <w:rPr>
          <w:color w:val="75A9A4"/>
          <w:szCs w:val="20"/>
        </w:rPr>
        <w:t xml:space="preserve">Gemäß ISO 374-1: 2016 werden Chemikalienschutzhandschuhe in drei Kategorien eingeteilt: Typ A (höchster Chemikalienschutz), Typ B und Typ C (geringer Chemikalienschutz). Das bisher </w:t>
      </w:r>
      <w:r w:rsidRPr="00E07576">
        <w:rPr>
          <w:color w:val="75A9A4"/>
          <w:szCs w:val="20"/>
        </w:rPr>
        <w:t xml:space="preserve">verwendete Symbol „Becherglas“ wird zukünftig nicht mehr verwendet. </w:t>
      </w:r>
    </w:p>
    <w:p w14:paraId="2A93A65C" w14:textId="585A80A2" w:rsidR="002C1E6C" w:rsidRDefault="00C9773F" w:rsidP="001C5F99">
      <w:r>
        <w:rPr>
          <w:noProof/>
          <w:lang w:eastAsia="de-DE"/>
        </w:rPr>
        <mc:AlternateContent>
          <mc:Choice Requires="wps">
            <w:drawing>
              <wp:anchor distT="45720" distB="45720" distL="114300" distR="114300" simplePos="0" relativeHeight="251683840" behindDoc="0" locked="0" layoutInCell="1" allowOverlap="1" wp14:anchorId="1B9C3A47" wp14:editId="70527DD4">
                <wp:simplePos x="0" y="0"/>
                <wp:positionH relativeFrom="column">
                  <wp:posOffset>1905</wp:posOffset>
                </wp:positionH>
                <wp:positionV relativeFrom="paragraph">
                  <wp:posOffset>1518920</wp:posOffset>
                </wp:positionV>
                <wp:extent cx="1238250" cy="1000125"/>
                <wp:effectExtent l="0" t="0" r="19050" b="28575"/>
                <wp:wrapSquare wrapText="bothSides"/>
                <wp:docPr id="19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1000125"/>
                        </a:xfrm>
                        <a:prstGeom prst="rect">
                          <a:avLst/>
                        </a:prstGeom>
                        <a:solidFill>
                          <a:srgbClr val="FFFFFF"/>
                        </a:solidFill>
                        <a:ln w="9525">
                          <a:solidFill>
                            <a:schemeClr val="bg1"/>
                          </a:solidFill>
                          <a:miter lim="800000"/>
                          <a:headEnd/>
                          <a:tailEnd/>
                        </a:ln>
                      </wps:spPr>
                      <wps:txbx>
                        <w:txbxContent>
                          <w:p w14:paraId="3CE04E63" w14:textId="77777777" w:rsidR="00E07576" w:rsidRPr="00E07576" w:rsidRDefault="00E07576" w:rsidP="00E07576">
                            <w:pPr>
                              <w:tabs>
                                <w:tab w:val="left" w:pos="4710"/>
                              </w:tabs>
                              <w:rPr>
                                <w:color w:val="75A9A4"/>
                                <w:szCs w:val="20"/>
                              </w:rPr>
                            </w:pPr>
                            <w:r w:rsidRPr="00E07576">
                              <w:rPr>
                                <w:color w:val="75A9A4"/>
                                <w:szCs w:val="20"/>
                              </w:rPr>
                              <w:t>Schutz gegen geringe chemische Gefahren: Piktogramm „Becherglas“ (entfällt künftig)</w:t>
                            </w:r>
                          </w:p>
                          <w:p w14:paraId="65EB579F" w14:textId="5C050A14" w:rsidR="00E07576" w:rsidRDefault="00E075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9C3A47" id="_x0000_s1029" type="#_x0000_t202" style="position:absolute;margin-left:.15pt;margin-top:119.6pt;width:97.5pt;height:78.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" strokecolor="white [3212]">
                <v:textbox>
                  <w:txbxContent>
                    <w:p w14:paraId="3CE04E63" w14:textId="77777777" w:rsidR="00E07576" w:rsidRPr="00E07576" w:rsidRDefault="00E07576" w:rsidP="00E07576">
                      <w:pPr>
                        <w:tabs>
                          <w:tab w:val="left" w:pos="4710"/>
                        </w:tabs>
                        <w:rPr>
                          <w:color w:val="75A9A4"/>
                          <w:szCs w:val="20"/>
                        </w:rPr>
                      </w:pPr>
                      <w:r w:rsidRPr="00E07576">
                        <w:rPr>
                          <w:color w:val="75A9A4"/>
                          <w:szCs w:val="20"/>
                        </w:rPr>
                        <w:t>Schutz gegen geringe chemische Gefahren: Piktogramm „Becherglas“ (entfällt künftig)</w:t>
                      </w:r>
                    </w:p>
                    <w:p w14:paraId="65EB579F" w14:textId="5C050A14" w:rsidR="00E07576" w:rsidRDefault="00E07576"/>
                  </w:txbxContent>
                </v:textbox>
                <w10:wrap type="square"/>
              </v:shape>
            </w:pict>
          </mc:Fallback>
        </mc:AlternateContent>
      </w:r>
      <w:r>
        <w:rPr>
          <w:noProof/>
          <w:lang w:eastAsia="de-DE"/>
        </w:rPr>
        <mc:AlternateContent>
          <mc:Choice Requires="wps">
            <w:drawing>
              <wp:anchor distT="45720" distB="45720" distL="114300" distR="114300" simplePos="0" relativeHeight="251685888" behindDoc="0" locked="0" layoutInCell="1" allowOverlap="1" wp14:anchorId="39803766" wp14:editId="0C8513C6">
                <wp:simplePos x="0" y="0"/>
                <wp:positionH relativeFrom="margin">
                  <wp:align>right</wp:align>
                </wp:positionH>
                <wp:positionV relativeFrom="paragraph">
                  <wp:posOffset>1528445</wp:posOffset>
                </wp:positionV>
                <wp:extent cx="1400175" cy="723900"/>
                <wp:effectExtent l="0" t="0" r="28575" b="19050"/>
                <wp:wrapSquare wrapText="bothSides"/>
                <wp:docPr id="1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723900"/>
                        </a:xfrm>
                        <a:prstGeom prst="rect">
                          <a:avLst/>
                        </a:prstGeom>
                        <a:solidFill>
                          <a:srgbClr val="FFFFFF"/>
                        </a:solidFill>
                        <a:ln w="9525">
                          <a:solidFill>
                            <a:schemeClr val="bg1"/>
                          </a:solidFill>
                          <a:miter lim="800000"/>
                          <a:headEnd/>
                          <a:tailEnd/>
                        </a:ln>
                      </wps:spPr>
                      <wps:txbx>
                        <w:txbxContent>
                          <w:p w14:paraId="1CF4FF4D" w14:textId="28241C2F" w:rsidR="00E07576" w:rsidRPr="00E07576" w:rsidRDefault="00E07576" w:rsidP="00E07576">
                            <w:pPr>
                              <w:rPr>
                                <w:color w:val="75A9A4"/>
                                <w:szCs w:val="20"/>
                              </w:rPr>
                            </w:pPr>
                            <w:r w:rsidRPr="00E07576">
                              <w:rPr>
                                <w:color w:val="75A9A4"/>
                                <w:szCs w:val="20"/>
                              </w:rPr>
                              <w:t>Schutz vor chemischen Gefahren: Piktogramm „Erlenmeyerkolben“: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803766" id="_x0000_s1030" type="#_x0000_t202" style="position:absolute;margin-left:59.05pt;margin-top:120.35pt;width:110.25pt;height:57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" strokecolor="white [3212]">
                <v:textbox>
                  <w:txbxContent>
                    <w:p w14:paraId="1CF4FF4D" w14:textId="28241C2F" w:rsidR="00E07576" w:rsidRPr="00E07576" w:rsidRDefault="00E07576" w:rsidP="00E07576">
                      <w:pPr>
                        <w:rPr>
                          <w:color w:val="75A9A4"/>
                          <w:szCs w:val="20"/>
                        </w:rPr>
                      </w:pPr>
                      <w:r w:rsidRPr="00E07576">
                        <w:rPr>
                          <w:color w:val="75A9A4"/>
                          <w:szCs w:val="20"/>
                        </w:rPr>
                        <w:t>Schutz vor chemischen Gefahren: Piktogramm „Erlenmeyerkolben“:</w:t>
                      </w:r>
                    </w:p>
                  </w:txbxContent>
                </v:textbox>
                <w10:wrap type="square" anchorx="margin"/>
              </v:shape>
            </w:pict>
          </mc:Fallback>
        </mc:AlternateContent>
      </w:r>
      <w:r w:rsidR="00E07576">
        <w:rPr>
          <w:rFonts w:ascii="Comic Sans MS" w:hAnsi="Comic Sans MS"/>
          <w:noProof/>
          <w:color w:val="808080" w:themeColor="background1" w:themeShade="80"/>
          <w:lang w:eastAsia="de-DE"/>
        </w:rPr>
        <w:drawing>
          <wp:inline distT="0" distB="0" distL="0" distR="0" wp14:anchorId="015FA0FB" wp14:editId="38DF827E">
            <wp:extent cx="1219200" cy="143891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1438910"/>
                    </a:xfrm>
                    <a:prstGeom prst="rect">
                      <a:avLst/>
                    </a:prstGeom>
                    <a:noFill/>
                  </pic:spPr>
                </pic:pic>
              </a:graphicData>
            </a:graphic>
          </wp:inline>
        </w:drawing>
      </w:r>
      <w:r w:rsidR="00E07576">
        <w:rPr>
          <w:noProof/>
          <w:lang w:eastAsia="de-DE"/>
        </w:rPr>
        <w:drawing>
          <wp:inline distT="0" distB="0" distL="0" distR="0" wp14:anchorId="674AE26A" wp14:editId="7E4A8233">
            <wp:extent cx="1410104" cy="1454785"/>
            <wp:effectExtent l="0" t="0" r="0" b="0"/>
            <wp:docPr id="31" name="Grafik 31" descr="https://d3rbxgeqn1ye9j.cloudfront.net/fileadmin/www.uvex-safety.com/Knowledge/safety_standards/safety_standards_gloves_din_en_347_picto.png?1473682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3rbxgeqn1ye9j.cloudfront.net/fileadmin/www.uvex-safety.com/Knowledge/safety_standards/safety_standards_gloves_din_en_347_picto.png?1473682458"/>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8990" t="16994" r="9277" b="-1316"/>
                    <a:stretch/>
                  </pic:blipFill>
                  <pic:spPr bwMode="auto">
                    <a:xfrm>
                      <a:off x="0" y="0"/>
                      <a:ext cx="1412410" cy="1457164"/>
                    </a:xfrm>
                    <a:prstGeom prst="rect">
                      <a:avLst/>
                    </a:prstGeom>
                    <a:noFill/>
                    <a:ln>
                      <a:noFill/>
                    </a:ln>
                    <a:extLst>
                      <a:ext uri="{53640926-AAD7-44D8-BBD7-CCE9431645EC}">
                        <a14:shadowObscured xmlns:a14="http://schemas.microsoft.com/office/drawing/2010/main"/>
                      </a:ext>
                    </a:extLst>
                  </pic:spPr>
                </pic:pic>
              </a:graphicData>
            </a:graphic>
          </wp:inline>
        </w:drawing>
      </w:r>
    </w:p>
    <w:p w14:paraId="79EA5D76" w14:textId="77777777" w:rsidR="002C1E6C" w:rsidRDefault="002C1E6C" w:rsidP="001C5F99"/>
    <w:p w14:paraId="13B5FE15" w14:textId="1F77A46B" w:rsidR="00C9773F" w:rsidRDefault="00C9773F" w:rsidP="001C5F99">
      <w:pPr>
        <w:spacing w:after="0"/>
      </w:pPr>
    </w:p>
    <w:p w14:paraId="2F1062F1" w14:textId="4A5DCF89" w:rsidR="002C1E6C" w:rsidRPr="000A368C" w:rsidRDefault="002C1E6C" w:rsidP="001C5F99">
      <w:pPr>
        <w:rPr>
          <w:rFonts w:ascii="Comic Sans MS" w:hAnsi="Comic Sans MS"/>
          <w:b/>
          <w:color w:val="808080" w:themeColor="background1" w:themeShade="80"/>
        </w:rPr>
      </w:pPr>
      <w:r w:rsidRPr="002C1E6C">
        <w:rPr>
          <w:rFonts w:eastAsiaTheme="majorEastAsia" w:cstheme="majorBidi"/>
          <w:b/>
          <w:color w:val="72A7A4"/>
          <w:sz w:val="26"/>
          <w:szCs w:val="26"/>
        </w:rPr>
        <w:t>Wie lange schützt mich mein Handschuh?</w:t>
      </w:r>
    </w:p>
    <w:p w14:paraId="22B080C2" w14:textId="74E2B3F7" w:rsidR="002C1E6C" w:rsidRPr="002C1E6C" w:rsidRDefault="002C1E6C" w:rsidP="001C5F99">
      <w:r w:rsidRPr="002C1E6C">
        <w:t>Wird ein Chemikalienschutzhandschuh zu lange benutzt, ist es wahrscheinlich, dass er nicht mehr schützt. Das liegt an der sogenannten „</w:t>
      </w:r>
      <w:r w:rsidRPr="002C1E6C">
        <w:rPr>
          <w:b/>
        </w:rPr>
        <w:t>Permeation“</w:t>
      </w:r>
      <w:r w:rsidRPr="002C1E6C">
        <w:t xml:space="preserve">. </w:t>
      </w:r>
    </w:p>
    <w:p w14:paraId="684857B5" w14:textId="2437FA21" w:rsidR="002C1E6C" w:rsidRPr="002C1E6C" w:rsidRDefault="002C1E6C" w:rsidP="001C5F99">
      <w:r w:rsidRPr="002C1E6C">
        <w:t xml:space="preserve">Permeation bedeutet, dass Chemikalien (z. B. Reinigungsmittel oder Epoxidharze) das Handschuhmaterial durchdringen oder </w:t>
      </w:r>
      <w:r w:rsidRPr="002C1E6C">
        <w:rPr>
          <w:i/>
        </w:rPr>
        <w:t xml:space="preserve">durchwandern. </w:t>
      </w:r>
      <w:r w:rsidRPr="002C1E6C">
        <w:t xml:space="preserve">Das passiert, ohne dass sichtbare Löcher im Handschuh zu erkennen sind. Auch wenn Handschuhe getragen werden, kann es also passieren, dass Chemikalien auf die Haut gelangen. Die Zeit, die eine Chemikalie benötigt, um einen Handschuh zu </w:t>
      </w:r>
      <w:r w:rsidRPr="002C1E6C">
        <w:rPr>
          <w:i/>
        </w:rPr>
        <w:t>durchwandern</w:t>
      </w:r>
      <w:r w:rsidRPr="002C1E6C">
        <w:t xml:space="preserve">, wird als Durchbruchzeit bezeichnet. </w:t>
      </w:r>
    </w:p>
    <w:p w14:paraId="3A59B4AA" w14:textId="75FEB982" w:rsidR="002C1E6C" w:rsidRPr="002C1E6C" w:rsidRDefault="002C1E6C" w:rsidP="001C5F99">
      <w:r w:rsidRPr="002C1E6C">
        <w:t xml:space="preserve">Die Schutzwirkung eines Handschuhs hängt von verschiedenen Faktoren ab, zum Beispiel </w:t>
      </w:r>
    </w:p>
    <w:p w14:paraId="6433671E" w14:textId="167C44F4" w:rsidR="002C1E6C" w:rsidRDefault="002C1E6C" w:rsidP="001C5F99">
      <w:pPr>
        <w:numPr>
          <w:ilvl w:val="0"/>
          <w:numId w:val="1"/>
        </w:numPr>
        <w:tabs>
          <w:tab w:val="clear" w:pos="720"/>
          <w:tab w:val="num" w:pos="426"/>
        </w:tabs>
        <w:spacing w:after="100"/>
        <w:ind w:left="425" w:hanging="425"/>
      </w:pPr>
      <w:r w:rsidRPr="002C1E6C">
        <w:t>von der Tragezeit des Handschuhs (Verwendungsdauer)</w:t>
      </w:r>
    </w:p>
    <w:p w14:paraId="2325FB35" w14:textId="300C10A1" w:rsidR="002C1E6C" w:rsidRDefault="002C1E6C" w:rsidP="001C5F99">
      <w:pPr>
        <w:numPr>
          <w:ilvl w:val="0"/>
          <w:numId w:val="1"/>
        </w:numPr>
        <w:tabs>
          <w:tab w:val="clear" w:pos="720"/>
          <w:tab w:val="num" w:pos="426"/>
        </w:tabs>
        <w:spacing w:after="100"/>
        <w:ind w:left="425" w:hanging="425"/>
      </w:pPr>
      <w:r w:rsidRPr="002C1E6C">
        <w:t>von der Art der verwendeten Chemikalie</w:t>
      </w:r>
    </w:p>
    <w:p w14:paraId="09F25ABA" w14:textId="5BD49EE7" w:rsidR="002C1E6C" w:rsidRDefault="002C1E6C" w:rsidP="001C5F99">
      <w:pPr>
        <w:numPr>
          <w:ilvl w:val="0"/>
          <w:numId w:val="1"/>
        </w:numPr>
        <w:tabs>
          <w:tab w:val="clear" w:pos="720"/>
          <w:tab w:val="num" w:pos="426"/>
        </w:tabs>
        <w:spacing w:after="100"/>
        <w:ind w:left="425" w:hanging="425"/>
      </w:pPr>
      <w:r w:rsidRPr="002C1E6C">
        <w:t>von der Konzentration des verwendeten Stoffes</w:t>
      </w:r>
    </w:p>
    <w:p w14:paraId="23B0C5D9" w14:textId="1115E578" w:rsidR="002C1E6C" w:rsidRDefault="002C1E6C" w:rsidP="001C5F99">
      <w:pPr>
        <w:numPr>
          <w:ilvl w:val="0"/>
          <w:numId w:val="1"/>
        </w:numPr>
        <w:tabs>
          <w:tab w:val="clear" w:pos="720"/>
          <w:tab w:val="num" w:pos="426"/>
        </w:tabs>
        <w:spacing w:after="100"/>
        <w:ind w:left="425" w:hanging="425"/>
      </w:pPr>
      <w:r w:rsidRPr="002C1E6C">
        <w:t xml:space="preserve">von mechanischen Gefahren </w:t>
      </w:r>
    </w:p>
    <w:p w14:paraId="4DB201AE" w14:textId="5145CE41" w:rsidR="002C1E6C" w:rsidRPr="002C1E6C" w:rsidRDefault="002C1E6C" w:rsidP="001C5F99">
      <w:pPr>
        <w:numPr>
          <w:ilvl w:val="0"/>
          <w:numId w:val="1"/>
        </w:numPr>
        <w:tabs>
          <w:tab w:val="clear" w:pos="720"/>
          <w:tab w:val="num" w:pos="426"/>
        </w:tabs>
        <w:spacing w:after="100"/>
        <w:ind w:left="425" w:hanging="425"/>
      </w:pPr>
      <w:r w:rsidRPr="002C1E6C">
        <w:t>von der Temperatur (z. B. Wärme oder Kälte)</w:t>
      </w:r>
    </w:p>
    <w:p w14:paraId="475C7D97" w14:textId="77777777" w:rsidR="00E07576" w:rsidRPr="00E07576" w:rsidRDefault="00E07576" w:rsidP="001C5F99">
      <w:pPr>
        <w:rPr>
          <w:color w:val="75A9A4"/>
          <w:szCs w:val="20"/>
        </w:rPr>
      </w:pPr>
      <w:r w:rsidRPr="00E07576">
        <w:rPr>
          <w:color w:val="75A9A4"/>
          <w:szCs w:val="20"/>
        </w:rPr>
        <w:lastRenderedPageBreak/>
        <w:t xml:space="preserve">Die Prüfnorm für die Permeation ist die </w:t>
      </w:r>
      <w:r w:rsidRPr="00C9773F">
        <w:rPr>
          <w:b/>
          <w:color w:val="75A9A4"/>
          <w:szCs w:val="20"/>
        </w:rPr>
        <w:t>EN 16523-1:2015</w:t>
      </w:r>
      <w:r w:rsidRPr="00E07576">
        <w:rPr>
          <w:color w:val="75A9A4"/>
          <w:szCs w:val="20"/>
        </w:rPr>
        <w:t xml:space="preserve"> („Bestimmung des Widerstands von Materialien gegen die Permeation von Chemikalien — Teil 1: Permeation durch eine flüssige Chemikalie unter Dauerkontakt“). Permeation meint das Durchwandern von Stoffen (z. B. Chemikalien) auf molekularer Ebene. In Abhängigkeit der Durchbruch- oder Permeationszeit kann für jede Chemikalie ein Schutzindex ermittelt und ausgewiesen werden. </w:t>
      </w:r>
    </w:p>
    <w:tbl>
      <w:tblPr>
        <w:tblW w:w="0" w:type="auto"/>
        <w:jc w:val="center"/>
        <w:tblCellMar>
          <w:left w:w="10" w:type="dxa"/>
          <w:right w:w="10" w:type="dxa"/>
        </w:tblCellMar>
        <w:tblLook w:val="04A0" w:firstRow="1" w:lastRow="0" w:firstColumn="1" w:lastColumn="0" w:noHBand="0" w:noVBand="1"/>
      </w:tblPr>
      <w:tblGrid>
        <w:gridCol w:w="2156"/>
        <w:gridCol w:w="2164"/>
      </w:tblGrid>
      <w:tr w:rsidR="00E07576" w:rsidRPr="00E07576" w14:paraId="10860E7F" w14:textId="77777777" w:rsidTr="00E07576">
        <w:trPr>
          <w:trHeight w:val="340"/>
          <w:jc w:val="center"/>
        </w:trPr>
        <w:tc>
          <w:tcPr>
            <w:tcW w:w="2156" w:type="dxa"/>
            <w:tcBorders>
              <w:top w:val="single" w:sz="4" w:space="0" w:color="auto"/>
              <w:bottom w:val="single" w:sz="4" w:space="0" w:color="auto"/>
            </w:tcBorders>
          </w:tcPr>
          <w:p w14:paraId="4536F8EB" w14:textId="77777777" w:rsidR="00E07576" w:rsidRPr="00E07576" w:rsidRDefault="00E07576" w:rsidP="001C5F99">
            <w:pPr>
              <w:rPr>
                <w:color w:val="75A9A4"/>
                <w:szCs w:val="20"/>
              </w:rPr>
            </w:pPr>
            <w:r w:rsidRPr="00C9773F">
              <w:rPr>
                <w:b/>
                <w:color w:val="75A9A4"/>
                <w:szCs w:val="20"/>
              </w:rPr>
              <w:t xml:space="preserve">Durchbruchzeit </w:t>
            </w:r>
            <w:r w:rsidRPr="00E07576">
              <w:rPr>
                <w:color w:val="75A9A4"/>
                <w:szCs w:val="20"/>
              </w:rPr>
              <w:br/>
              <w:t>in Minuten</w:t>
            </w:r>
          </w:p>
        </w:tc>
        <w:tc>
          <w:tcPr>
            <w:tcW w:w="2164" w:type="dxa"/>
            <w:tcBorders>
              <w:top w:val="single" w:sz="4" w:space="0" w:color="auto"/>
              <w:bottom w:val="single" w:sz="4" w:space="0" w:color="auto"/>
            </w:tcBorders>
          </w:tcPr>
          <w:p w14:paraId="68F8168D" w14:textId="77777777" w:rsidR="00E07576" w:rsidRPr="00C9773F" w:rsidRDefault="00E07576" w:rsidP="001C5F99">
            <w:pPr>
              <w:rPr>
                <w:b/>
                <w:color w:val="75A9A4"/>
                <w:szCs w:val="20"/>
              </w:rPr>
            </w:pPr>
            <w:r w:rsidRPr="00C9773F">
              <w:rPr>
                <w:b/>
                <w:color w:val="75A9A4"/>
                <w:szCs w:val="20"/>
              </w:rPr>
              <w:t>Schutzindex</w:t>
            </w:r>
          </w:p>
        </w:tc>
      </w:tr>
      <w:tr w:rsidR="00E07576" w:rsidRPr="00E07576" w14:paraId="0AD132E9" w14:textId="77777777" w:rsidTr="00E07576">
        <w:trPr>
          <w:trHeight w:val="340"/>
          <w:jc w:val="center"/>
        </w:trPr>
        <w:tc>
          <w:tcPr>
            <w:tcW w:w="2156" w:type="dxa"/>
            <w:tcBorders>
              <w:top w:val="single" w:sz="4" w:space="0" w:color="auto"/>
            </w:tcBorders>
          </w:tcPr>
          <w:p w14:paraId="01E6C780" w14:textId="77777777" w:rsidR="00E07576" w:rsidRPr="00E07576" w:rsidRDefault="00E07576" w:rsidP="001C5F99">
            <w:pPr>
              <w:rPr>
                <w:color w:val="75A9A4"/>
                <w:szCs w:val="20"/>
              </w:rPr>
            </w:pPr>
            <w:r w:rsidRPr="00E07576">
              <w:rPr>
                <w:color w:val="75A9A4"/>
                <w:szCs w:val="20"/>
              </w:rPr>
              <w:t>&gt; 10</w:t>
            </w:r>
          </w:p>
        </w:tc>
        <w:tc>
          <w:tcPr>
            <w:tcW w:w="2164" w:type="dxa"/>
            <w:tcBorders>
              <w:top w:val="single" w:sz="4" w:space="0" w:color="auto"/>
            </w:tcBorders>
          </w:tcPr>
          <w:p w14:paraId="0D80372B" w14:textId="77777777" w:rsidR="00E07576" w:rsidRPr="00E07576" w:rsidRDefault="00E07576" w:rsidP="001C5F99">
            <w:pPr>
              <w:rPr>
                <w:color w:val="75A9A4"/>
                <w:szCs w:val="20"/>
              </w:rPr>
            </w:pPr>
            <w:r w:rsidRPr="00E07576">
              <w:rPr>
                <w:color w:val="75A9A4"/>
                <w:szCs w:val="20"/>
              </w:rPr>
              <w:t>Klasse 1</w:t>
            </w:r>
          </w:p>
        </w:tc>
      </w:tr>
      <w:tr w:rsidR="00E07576" w:rsidRPr="00E07576" w14:paraId="0835036C" w14:textId="77777777" w:rsidTr="00E07576">
        <w:trPr>
          <w:trHeight w:val="340"/>
          <w:jc w:val="center"/>
        </w:trPr>
        <w:tc>
          <w:tcPr>
            <w:tcW w:w="2156" w:type="dxa"/>
          </w:tcPr>
          <w:p w14:paraId="169AC74D" w14:textId="77777777" w:rsidR="00E07576" w:rsidRPr="00E07576" w:rsidRDefault="00E07576" w:rsidP="001C5F99">
            <w:pPr>
              <w:rPr>
                <w:color w:val="75A9A4"/>
                <w:szCs w:val="20"/>
              </w:rPr>
            </w:pPr>
            <w:r w:rsidRPr="00E07576">
              <w:rPr>
                <w:color w:val="75A9A4"/>
                <w:szCs w:val="20"/>
              </w:rPr>
              <w:t>&gt; 30</w:t>
            </w:r>
          </w:p>
        </w:tc>
        <w:tc>
          <w:tcPr>
            <w:tcW w:w="2164" w:type="dxa"/>
          </w:tcPr>
          <w:p w14:paraId="4ADC805B" w14:textId="77777777" w:rsidR="00E07576" w:rsidRPr="00E07576" w:rsidRDefault="00E07576" w:rsidP="001C5F99">
            <w:pPr>
              <w:rPr>
                <w:color w:val="75A9A4"/>
                <w:szCs w:val="20"/>
              </w:rPr>
            </w:pPr>
            <w:r w:rsidRPr="00E07576">
              <w:rPr>
                <w:color w:val="75A9A4"/>
                <w:szCs w:val="20"/>
              </w:rPr>
              <w:t>Klasse 2</w:t>
            </w:r>
          </w:p>
        </w:tc>
      </w:tr>
      <w:tr w:rsidR="00E07576" w:rsidRPr="00E07576" w14:paraId="3D4B1DBC" w14:textId="77777777" w:rsidTr="00E07576">
        <w:trPr>
          <w:trHeight w:val="340"/>
          <w:jc w:val="center"/>
        </w:trPr>
        <w:tc>
          <w:tcPr>
            <w:tcW w:w="2156" w:type="dxa"/>
          </w:tcPr>
          <w:p w14:paraId="74D0E9F9" w14:textId="77777777" w:rsidR="00E07576" w:rsidRPr="00E07576" w:rsidRDefault="00E07576" w:rsidP="001C5F99">
            <w:pPr>
              <w:rPr>
                <w:color w:val="75A9A4"/>
                <w:szCs w:val="20"/>
              </w:rPr>
            </w:pPr>
            <w:r w:rsidRPr="00E07576">
              <w:rPr>
                <w:color w:val="75A9A4"/>
                <w:szCs w:val="20"/>
              </w:rPr>
              <w:t>&gt; 60</w:t>
            </w:r>
          </w:p>
        </w:tc>
        <w:tc>
          <w:tcPr>
            <w:tcW w:w="2164" w:type="dxa"/>
          </w:tcPr>
          <w:p w14:paraId="0DACE7F3" w14:textId="77777777" w:rsidR="00E07576" w:rsidRPr="00E07576" w:rsidRDefault="00E07576" w:rsidP="001C5F99">
            <w:pPr>
              <w:rPr>
                <w:color w:val="75A9A4"/>
                <w:szCs w:val="20"/>
              </w:rPr>
            </w:pPr>
            <w:r w:rsidRPr="00E07576">
              <w:rPr>
                <w:color w:val="75A9A4"/>
                <w:szCs w:val="20"/>
              </w:rPr>
              <w:t>Klasse 3</w:t>
            </w:r>
          </w:p>
        </w:tc>
      </w:tr>
      <w:tr w:rsidR="00E07576" w:rsidRPr="00E07576" w14:paraId="0605E826" w14:textId="77777777" w:rsidTr="00E07576">
        <w:trPr>
          <w:trHeight w:val="340"/>
          <w:jc w:val="center"/>
        </w:trPr>
        <w:tc>
          <w:tcPr>
            <w:tcW w:w="2156" w:type="dxa"/>
          </w:tcPr>
          <w:p w14:paraId="05C08194" w14:textId="77777777" w:rsidR="00E07576" w:rsidRPr="00E07576" w:rsidRDefault="00E07576" w:rsidP="001C5F99">
            <w:pPr>
              <w:rPr>
                <w:color w:val="75A9A4"/>
                <w:szCs w:val="20"/>
              </w:rPr>
            </w:pPr>
            <w:r w:rsidRPr="00E07576">
              <w:rPr>
                <w:color w:val="75A9A4"/>
                <w:szCs w:val="20"/>
              </w:rPr>
              <w:t>&gt; 120</w:t>
            </w:r>
          </w:p>
        </w:tc>
        <w:tc>
          <w:tcPr>
            <w:tcW w:w="2164" w:type="dxa"/>
          </w:tcPr>
          <w:p w14:paraId="4537BACB" w14:textId="77777777" w:rsidR="00E07576" w:rsidRPr="00E07576" w:rsidRDefault="00E07576" w:rsidP="001C5F99">
            <w:pPr>
              <w:rPr>
                <w:color w:val="75A9A4"/>
                <w:szCs w:val="20"/>
              </w:rPr>
            </w:pPr>
            <w:r w:rsidRPr="00E07576">
              <w:rPr>
                <w:color w:val="75A9A4"/>
                <w:szCs w:val="20"/>
              </w:rPr>
              <w:t>Klasse 4</w:t>
            </w:r>
          </w:p>
        </w:tc>
      </w:tr>
      <w:tr w:rsidR="00E07576" w:rsidRPr="00E07576" w14:paraId="163ADE58" w14:textId="77777777" w:rsidTr="00E07576">
        <w:trPr>
          <w:trHeight w:val="340"/>
          <w:jc w:val="center"/>
        </w:trPr>
        <w:tc>
          <w:tcPr>
            <w:tcW w:w="2156" w:type="dxa"/>
          </w:tcPr>
          <w:p w14:paraId="2BA7AA96" w14:textId="77777777" w:rsidR="00E07576" w:rsidRPr="00E07576" w:rsidRDefault="00E07576" w:rsidP="001C5F99">
            <w:pPr>
              <w:rPr>
                <w:color w:val="75A9A4"/>
                <w:szCs w:val="20"/>
              </w:rPr>
            </w:pPr>
            <w:r w:rsidRPr="00E07576">
              <w:rPr>
                <w:color w:val="75A9A4"/>
                <w:szCs w:val="20"/>
              </w:rPr>
              <w:t>&gt; 240</w:t>
            </w:r>
          </w:p>
        </w:tc>
        <w:tc>
          <w:tcPr>
            <w:tcW w:w="2164" w:type="dxa"/>
          </w:tcPr>
          <w:p w14:paraId="5A47F97C" w14:textId="77777777" w:rsidR="00E07576" w:rsidRPr="00E07576" w:rsidRDefault="00E07576" w:rsidP="001C5F99">
            <w:pPr>
              <w:rPr>
                <w:color w:val="75A9A4"/>
                <w:szCs w:val="20"/>
              </w:rPr>
            </w:pPr>
            <w:r w:rsidRPr="00E07576">
              <w:rPr>
                <w:color w:val="75A9A4"/>
                <w:szCs w:val="20"/>
              </w:rPr>
              <w:t>Klasse 5</w:t>
            </w:r>
          </w:p>
        </w:tc>
      </w:tr>
      <w:tr w:rsidR="00E07576" w:rsidRPr="00E07576" w14:paraId="4B66D81B" w14:textId="77777777" w:rsidTr="00E07576">
        <w:trPr>
          <w:trHeight w:val="340"/>
          <w:jc w:val="center"/>
        </w:trPr>
        <w:tc>
          <w:tcPr>
            <w:tcW w:w="2156" w:type="dxa"/>
          </w:tcPr>
          <w:p w14:paraId="6B7096B4" w14:textId="77777777" w:rsidR="00E07576" w:rsidRPr="00E07576" w:rsidRDefault="00E07576" w:rsidP="001C5F99">
            <w:pPr>
              <w:rPr>
                <w:color w:val="75A9A4"/>
                <w:szCs w:val="20"/>
              </w:rPr>
            </w:pPr>
            <w:r w:rsidRPr="00E07576">
              <w:rPr>
                <w:color w:val="75A9A4"/>
                <w:szCs w:val="20"/>
              </w:rPr>
              <w:t>&gt; 480</w:t>
            </w:r>
          </w:p>
        </w:tc>
        <w:tc>
          <w:tcPr>
            <w:tcW w:w="2164" w:type="dxa"/>
          </w:tcPr>
          <w:p w14:paraId="59527532" w14:textId="77777777" w:rsidR="00E07576" w:rsidRPr="00E07576" w:rsidRDefault="00E07576" w:rsidP="001C5F99">
            <w:pPr>
              <w:rPr>
                <w:color w:val="75A9A4"/>
                <w:szCs w:val="20"/>
              </w:rPr>
            </w:pPr>
            <w:r w:rsidRPr="00E07576">
              <w:rPr>
                <w:color w:val="75A9A4"/>
                <w:szCs w:val="20"/>
              </w:rPr>
              <w:t>Klasse 6</w:t>
            </w:r>
          </w:p>
        </w:tc>
      </w:tr>
    </w:tbl>
    <w:p w14:paraId="5DBB07A3" w14:textId="77777777" w:rsidR="00E07576" w:rsidRPr="00E07576" w:rsidRDefault="00E07576" w:rsidP="001C5F99">
      <w:pPr>
        <w:rPr>
          <w:color w:val="75A9A4"/>
          <w:szCs w:val="20"/>
        </w:rPr>
      </w:pPr>
      <w:r w:rsidRPr="00E07576">
        <w:rPr>
          <w:color w:val="75A9A4"/>
          <w:szCs w:val="20"/>
        </w:rPr>
        <w:t xml:space="preserve">Zu beachten ist, dass die Messung der Permeationszeit unter Laborbedingungen bei 23°C stattfindet. In der Praxis sollte daher berücksichtigt werden, dass die ermittelte Durchbruchzeit unter arbeitspraktischen Bedingungen deutlich unterschritten werden kann, z. B. aufgrund wärmerer (Körper-)Temperaturen und/oder mechanischer Belastung. </w:t>
      </w:r>
    </w:p>
    <w:p w14:paraId="6B20EE26" w14:textId="77777777" w:rsidR="00E07576" w:rsidRPr="00E07576" w:rsidRDefault="00E07576" w:rsidP="001C5F99">
      <w:pPr>
        <w:rPr>
          <w:color w:val="75A9A4"/>
          <w:szCs w:val="20"/>
        </w:rPr>
      </w:pPr>
      <w:r w:rsidRPr="00E07576">
        <w:rPr>
          <w:color w:val="75A9A4"/>
          <w:szCs w:val="20"/>
        </w:rPr>
        <w:t xml:space="preserve">Viele Handschuhhersteller stellen online oder auf Anfrage Informationen zu Durchbruchzeiten und Schutzeigenschaften verschiedener Handschuhe zur Verfügung. </w:t>
      </w:r>
    </w:p>
    <w:p w14:paraId="3544ECF1" w14:textId="336103AE" w:rsidR="00E07576" w:rsidRPr="00E07576" w:rsidRDefault="00E07576" w:rsidP="001C5F99">
      <w:pPr>
        <w:rPr>
          <w:color w:val="75A9A4"/>
          <w:szCs w:val="20"/>
        </w:rPr>
      </w:pPr>
      <w:r w:rsidRPr="00E07576">
        <w:rPr>
          <w:color w:val="75A9A4"/>
          <w:szCs w:val="20"/>
        </w:rPr>
        <w:t xml:space="preserve">Eine weitere Informationsquelle sind darüber hinaus die Sicherheitsdatenblätter (SDB) der verwendeten Arbeitsstoffe. Diese geben – in Abschnitt 8.2: Begrenzung und Überwachung der Exposition – Auskunft über bei der Verarbeitung zu ergreifende Schutzmaßnahmen (z. B. hinsichtlich des Augen- oder Hautschutzes). </w:t>
      </w:r>
    </w:p>
    <w:p w14:paraId="3042A1C8" w14:textId="77777777" w:rsidR="00E07576" w:rsidRPr="00E07576" w:rsidRDefault="00E07576" w:rsidP="001C5F99">
      <w:pPr>
        <w:tabs>
          <w:tab w:val="left" w:pos="4710"/>
        </w:tabs>
        <w:rPr>
          <w:color w:val="75A9A4"/>
          <w:szCs w:val="20"/>
        </w:rPr>
      </w:pPr>
      <w:r w:rsidRPr="00E07576">
        <w:rPr>
          <w:color w:val="75A9A4"/>
          <w:szCs w:val="20"/>
        </w:rPr>
        <w:t>Zusätzlich können an dieser Stelle die Experimente „PERMEATION I – DIE UNSICHTBARE GEFAHR SICHTBAR MACHEN“ und „PERMEATION II – DIE UNSICHTBARE GEFAHR SICHTBAR MACHEN“ durchgeführt werden. Die Anleitungen für Schüler und eine Lehrerinformation finden Sie bei den Experimentkarten.</w:t>
      </w:r>
    </w:p>
    <w:p w14:paraId="73B7FC6F" w14:textId="77777777" w:rsidR="00E07576" w:rsidRDefault="00E07576" w:rsidP="001C5F99">
      <w:pPr>
        <w:rPr>
          <w:rFonts w:ascii="Comic Sans MS" w:hAnsi="Comic Sans MS"/>
          <w:b/>
          <w:color w:val="808080" w:themeColor="background1" w:themeShade="80"/>
          <w:szCs w:val="20"/>
        </w:rPr>
      </w:pPr>
    </w:p>
    <w:p w14:paraId="40200472" w14:textId="749A89DD" w:rsidR="000F4059" w:rsidRDefault="002C1E6C" w:rsidP="001C5F99">
      <w:pPr>
        <w:rPr>
          <w:szCs w:val="20"/>
        </w:rPr>
      </w:pPr>
      <w:r w:rsidRPr="002C1E6C">
        <w:rPr>
          <w:i/>
          <w:noProof/>
          <w:lang w:eastAsia="de-DE"/>
        </w:rPr>
        <w:drawing>
          <wp:anchor distT="0" distB="0" distL="114300" distR="114300" simplePos="0" relativeHeight="251670528" behindDoc="0" locked="0" layoutInCell="1" allowOverlap="1" wp14:anchorId="6C3F5A98" wp14:editId="75BFE067">
            <wp:simplePos x="0" y="0"/>
            <wp:positionH relativeFrom="margin">
              <wp:align>right</wp:align>
            </wp:positionH>
            <wp:positionV relativeFrom="paragraph">
              <wp:posOffset>0</wp:posOffset>
            </wp:positionV>
            <wp:extent cx="2743200" cy="1293107"/>
            <wp:effectExtent l="0" t="0" r="0" b="254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293107"/>
                    </a:xfrm>
                    <a:prstGeom prst="rect">
                      <a:avLst/>
                    </a:prstGeom>
                    <a:noFill/>
                  </pic:spPr>
                </pic:pic>
              </a:graphicData>
            </a:graphic>
            <wp14:sizeRelH relativeFrom="page">
              <wp14:pctWidth>0</wp14:pctWidth>
            </wp14:sizeRelH>
            <wp14:sizeRelV relativeFrom="page">
              <wp14:pctHeight>0</wp14:pctHeight>
            </wp14:sizeRelV>
          </wp:anchor>
        </w:drawing>
      </w:r>
      <w:r w:rsidRPr="002C1E6C">
        <w:rPr>
          <w:b/>
          <w:szCs w:val="20"/>
        </w:rPr>
        <w:t xml:space="preserve">Abbildung 1: </w:t>
      </w:r>
      <w:r w:rsidRPr="002C1E6C">
        <w:rPr>
          <w:szCs w:val="20"/>
        </w:rPr>
        <w:t xml:space="preserve">Ab dem </w:t>
      </w:r>
      <w:r w:rsidRPr="002C1E6C">
        <w:rPr>
          <w:szCs w:val="20"/>
          <w:u w:val="single"/>
        </w:rPr>
        <w:t>ersten Kontakt mit einer Chemikalie</w:t>
      </w:r>
      <w:r w:rsidRPr="002C1E6C">
        <w:rPr>
          <w:szCs w:val="20"/>
        </w:rPr>
        <w:t xml:space="preserve"> beginnt die Durchwanderung des Stoffes durch den Handschuh. Hat ein Stoff den Handschuh durchdrungen, kann er die Haut schädigen. </w:t>
      </w:r>
    </w:p>
    <w:p w14:paraId="1F883B19" w14:textId="77777777" w:rsidR="000F4059" w:rsidRPr="000F4059" w:rsidRDefault="000F4059" w:rsidP="001C5F99">
      <w:pPr>
        <w:pBdr>
          <w:top w:val="single" w:sz="4" w:space="1" w:color="auto"/>
          <w:left w:val="single" w:sz="4" w:space="0" w:color="auto"/>
          <w:bottom w:val="single" w:sz="4" w:space="1" w:color="auto"/>
          <w:right w:val="single" w:sz="4" w:space="4" w:color="auto"/>
        </w:pBdr>
        <w:outlineLvl w:val="0"/>
      </w:pPr>
      <w:r w:rsidRPr="000F4059">
        <w:t xml:space="preserve">Chemikalien durchwandern einen Schutzhandschuh </w:t>
      </w:r>
      <w:r w:rsidRPr="000F4059">
        <w:rPr>
          <w:b/>
        </w:rPr>
        <w:t>ab dem ersten Kontakt</w:t>
      </w:r>
      <w:r w:rsidRPr="000F4059">
        <w:t xml:space="preserve">! Dabei ist es egal, ob ein Handschuh weiterhin getragen wird. </w:t>
      </w:r>
    </w:p>
    <w:p w14:paraId="484FEE72" w14:textId="77777777" w:rsidR="000F4059" w:rsidRPr="000F4059" w:rsidRDefault="000F4059" w:rsidP="001C5F99">
      <w:pPr>
        <w:pBdr>
          <w:top w:val="single" w:sz="4" w:space="1" w:color="auto"/>
          <w:left w:val="single" w:sz="4" w:space="0" w:color="auto"/>
          <w:bottom w:val="single" w:sz="4" w:space="1" w:color="auto"/>
          <w:right w:val="single" w:sz="4" w:space="4" w:color="auto"/>
        </w:pBdr>
        <w:outlineLvl w:val="0"/>
        <w:rPr>
          <w:u w:val="single"/>
        </w:rPr>
      </w:pPr>
      <w:r w:rsidRPr="000F4059">
        <w:rPr>
          <w:u w:val="single"/>
        </w:rPr>
        <w:t xml:space="preserve">Beispiel: </w:t>
      </w:r>
    </w:p>
    <w:p w14:paraId="3D7B6661" w14:textId="77777777" w:rsidR="000F4059" w:rsidRPr="000F4059" w:rsidRDefault="000F4059" w:rsidP="001C5F99">
      <w:pPr>
        <w:pBdr>
          <w:top w:val="single" w:sz="4" w:space="1" w:color="auto"/>
          <w:left w:val="single" w:sz="4" w:space="0" w:color="auto"/>
          <w:bottom w:val="single" w:sz="4" w:space="1" w:color="auto"/>
          <w:right w:val="single" w:sz="4" w:space="4" w:color="auto"/>
        </w:pBdr>
        <w:outlineLvl w:val="0"/>
      </w:pPr>
      <w:r w:rsidRPr="000F4059">
        <w:t xml:space="preserve">Die Durchwanderungszeit für ein Reinigungsmittel (z. B. Spiritus) beträgt für einen Handschuh 30 Minuten. </w:t>
      </w:r>
    </w:p>
    <w:p w14:paraId="42135E58" w14:textId="4FCCD96F" w:rsidR="000F4059" w:rsidRPr="000F4059" w:rsidRDefault="000F4059" w:rsidP="001C5F99">
      <w:pPr>
        <w:pBdr>
          <w:top w:val="single" w:sz="4" w:space="1" w:color="auto"/>
          <w:left w:val="single" w:sz="4" w:space="0" w:color="auto"/>
          <w:bottom w:val="single" w:sz="4" w:space="1" w:color="auto"/>
          <w:right w:val="single" w:sz="4" w:space="4" w:color="auto"/>
        </w:pBdr>
        <w:outlineLvl w:val="0"/>
      </w:pPr>
      <w:r w:rsidRPr="000F4059">
        <w:t xml:space="preserve">Dieser Handschuh muss nach spätestens 30 Minuten verworfen werden, egal wie lange die Reinigungsarbeiten dauern. Der Handschuh darf also nicht an 30 aufeinanderfolgenden Tagen für jeweils 1 Minute getragen werden. </w:t>
      </w:r>
    </w:p>
    <w:p w14:paraId="7B2CBF2D" w14:textId="77777777" w:rsidR="000F4059" w:rsidRPr="000F4059" w:rsidRDefault="000F4059" w:rsidP="001C5F99">
      <w:pPr>
        <w:outlineLvl w:val="0"/>
        <w:rPr>
          <w:rFonts w:eastAsiaTheme="majorEastAsia" w:cstheme="majorBidi"/>
          <w:b/>
          <w:color w:val="72A7A4"/>
          <w:sz w:val="26"/>
          <w:szCs w:val="26"/>
        </w:rPr>
      </w:pPr>
      <w:r w:rsidRPr="000F4059">
        <w:rPr>
          <w:rFonts w:eastAsiaTheme="majorEastAsia" w:cstheme="majorBidi"/>
          <w:b/>
          <w:color w:val="72A7A4"/>
          <w:sz w:val="26"/>
          <w:szCs w:val="26"/>
        </w:rPr>
        <w:t>Wann sollte ein Chemikalienschutzhandschuh entsorgt werden?</w:t>
      </w:r>
    </w:p>
    <w:p w14:paraId="7EAF10B0" w14:textId="7B9C4CE9" w:rsidR="000F4059" w:rsidRPr="000F4059" w:rsidRDefault="000F4059" w:rsidP="001C5F99">
      <w:pPr>
        <w:rPr>
          <w:i/>
        </w:rPr>
      </w:pPr>
      <w:r w:rsidRPr="000F4059">
        <w:t xml:space="preserve">Spätestens am Ende </w:t>
      </w:r>
      <w:r w:rsidRPr="000F4059">
        <w:rPr>
          <w:i/>
        </w:rPr>
        <w:t xml:space="preserve">des Arbeitstages sowie bei sichtbarer Beschädigung oder Verschmutzung des Handschuhinneren sollte ein Chemikalienschutzhandschuh entsorgt werden. Chemikalienschutzhandschuhe sind nicht waschbar. </w:t>
      </w:r>
    </w:p>
    <w:p w14:paraId="1D202D25" w14:textId="4E75C1EB" w:rsidR="000F4059" w:rsidRPr="000F4059" w:rsidRDefault="000F4059" w:rsidP="001C5F99">
      <w:pPr>
        <w:rPr>
          <w:i/>
        </w:rPr>
      </w:pPr>
      <w:r w:rsidRPr="000F4059">
        <w:rPr>
          <w:i/>
        </w:rPr>
        <w:t xml:space="preserve">Weitere Anzeichen dafür, dass ein Handschuh entsorgt werden sollte, sind außerdem: </w:t>
      </w:r>
    </w:p>
    <w:p w14:paraId="395D1BDF" w14:textId="77777777" w:rsidR="00C9773F" w:rsidRDefault="000F4059" w:rsidP="001C5F99">
      <w:pPr>
        <w:numPr>
          <w:ilvl w:val="0"/>
          <w:numId w:val="2"/>
        </w:numPr>
        <w:tabs>
          <w:tab w:val="clear" w:pos="720"/>
          <w:tab w:val="num" w:pos="426"/>
        </w:tabs>
        <w:spacing w:after="100"/>
        <w:ind w:left="426" w:hanging="426"/>
      </w:pPr>
      <w:r w:rsidRPr="000F4059">
        <w:t>Verfärbung</w:t>
      </w:r>
    </w:p>
    <w:p w14:paraId="3C050C02" w14:textId="4403016B" w:rsidR="000F4059" w:rsidRDefault="000F4059" w:rsidP="001C5F99">
      <w:pPr>
        <w:numPr>
          <w:ilvl w:val="0"/>
          <w:numId w:val="2"/>
        </w:numPr>
        <w:tabs>
          <w:tab w:val="clear" w:pos="720"/>
          <w:tab w:val="num" w:pos="426"/>
        </w:tabs>
        <w:spacing w:after="100"/>
        <w:ind w:left="425" w:hanging="425"/>
      </w:pPr>
      <w:r w:rsidRPr="000F4059">
        <w:t>Versprödung</w:t>
      </w:r>
    </w:p>
    <w:p w14:paraId="513DD04A" w14:textId="4B456F28" w:rsidR="000F4059" w:rsidRDefault="000F4059" w:rsidP="001C5F99">
      <w:pPr>
        <w:numPr>
          <w:ilvl w:val="0"/>
          <w:numId w:val="2"/>
        </w:numPr>
        <w:tabs>
          <w:tab w:val="clear" w:pos="720"/>
          <w:tab w:val="num" w:pos="426"/>
        </w:tabs>
        <w:spacing w:after="100"/>
        <w:ind w:left="425" w:hanging="425"/>
      </w:pPr>
      <w:r w:rsidRPr="000F4059">
        <w:t>Verhärtung</w:t>
      </w:r>
    </w:p>
    <w:p w14:paraId="530D90B4" w14:textId="77777777" w:rsidR="000F4059" w:rsidRDefault="000F4059" w:rsidP="001C5F99">
      <w:pPr>
        <w:numPr>
          <w:ilvl w:val="0"/>
          <w:numId w:val="2"/>
        </w:numPr>
        <w:tabs>
          <w:tab w:val="clear" w:pos="720"/>
          <w:tab w:val="num" w:pos="426"/>
        </w:tabs>
        <w:spacing w:after="100"/>
        <w:ind w:left="425" w:hanging="425"/>
      </w:pPr>
      <w:r w:rsidRPr="000F4059">
        <w:t>Verformung</w:t>
      </w:r>
    </w:p>
    <w:p w14:paraId="50321862" w14:textId="77777777" w:rsidR="000F4059" w:rsidRDefault="000F4059" w:rsidP="001C5F99">
      <w:pPr>
        <w:numPr>
          <w:ilvl w:val="0"/>
          <w:numId w:val="2"/>
        </w:numPr>
        <w:tabs>
          <w:tab w:val="clear" w:pos="720"/>
          <w:tab w:val="num" w:pos="426"/>
        </w:tabs>
        <w:spacing w:after="100"/>
        <w:ind w:left="426" w:hanging="426"/>
      </w:pPr>
      <w:r w:rsidRPr="000F4059">
        <w:t>Auflösen</w:t>
      </w:r>
    </w:p>
    <w:p w14:paraId="7189D8E4" w14:textId="2CDE37A0" w:rsidR="000F4059" w:rsidRPr="000F4059" w:rsidRDefault="000F4059" w:rsidP="001C5F99">
      <w:pPr>
        <w:numPr>
          <w:ilvl w:val="0"/>
          <w:numId w:val="2"/>
        </w:numPr>
        <w:tabs>
          <w:tab w:val="clear" w:pos="720"/>
          <w:tab w:val="num" w:pos="426"/>
        </w:tabs>
        <w:spacing w:after="100"/>
        <w:ind w:left="426" w:hanging="426"/>
      </w:pPr>
      <w:r w:rsidRPr="000F4059">
        <w:rPr>
          <w:rFonts w:ascii="Comic Sans MS" w:hAnsi="Comic Sans MS"/>
          <w:b/>
          <w:i/>
          <w:noProof/>
          <w:color w:val="808080" w:themeColor="background1" w:themeShade="80"/>
          <w:lang w:eastAsia="de-DE"/>
        </w:rPr>
        <mc:AlternateContent>
          <mc:Choice Requires="wps">
            <w:drawing>
              <wp:anchor distT="45720" distB="45720" distL="114300" distR="114300" simplePos="0" relativeHeight="251672576" behindDoc="0" locked="0" layoutInCell="1" allowOverlap="1" wp14:anchorId="39571B9A" wp14:editId="3EFE1C1F">
                <wp:simplePos x="0" y="0"/>
                <wp:positionH relativeFrom="margin">
                  <wp:align>right</wp:align>
                </wp:positionH>
                <wp:positionV relativeFrom="paragraph">
                  <wp:posOffset>340995</wp:posOffset>
                </wp:positionV>
                <wp:extent cx="2705100" cy="409575"/>
                <wp:effectExtent l="0" t="0" r="1905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09575"/>
                        </a:xfrm>
                        <a:prstGeom prst="rect">
                          <a:avLst/>
                        </a:prstGeom>
                        <a:solidFill>
                          <a:srgbClr val="FFFFFF"/>
                        </a:solidFill>
                        <a:ln w="9525">
                          <a:solidFill>
                            <a:srgbClr val="000000"/>
                          </a:solidFill>
                          <a:miter lim="800000"/>
                          <a:headEnd/>
                          <a:tailEnd/>
                        </a:ln>
                      </wps:spPr>
                      <wps:txbx>
                        <w:txbxContent>
                          <w:p w14:paraId="29696FD9" w14:textId="03E60348" w:rsidR="000F4059" w:rsidRPr="000F4059" w:rsidRDefault="000F4059">
                            <w:r w:rsidRPr="000F4059">
                              <w:rPr>
                                <w:b/>
                                <w:i/>
                              </w:rPr>
                              <w:t>Die Hände sollten vor der Verwendung von Handschuhe sauber und trocken sein!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71B9A" id="_x0000_s1031" type="#_x0000_t202" style="position:absolute;left:0;text-align:left;margin-left:161.8pt;margin-top:26.85pt;width:213pt;height:32.25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">
                <v:textbox>
                  <w:txbxContent>
                    <w:p w14:paraId="29696FD9" w14:textId="03E60348" w:rsidR="000F4059" w:rsidRPr="000F4059" w:rsidRDefault="000F4059">
                      <w:r w:rsidRPr="000F4059">
                        <w:rPr>
                          <w:b/>
                          <w:i/>
                        </w:rPr>
                        <w:t>Die Hände sollten vor der Verwendung von Handschuhe sauber und trocken sein!</w:t>
                      </w:r>
                    </w:p>
                  </w:txbxContent>
                </v:textbox>
                <w10:wrap type="square" anchorx="margin"/>
              </v:shape>
            </w:pict>
          </mc:Fallback>
        </mc:AlternateContent>
      </w:r>
      <w:r w:rsidRPr="000F4059">
        <w:t>Aufquellen</w:t>
      </w:r>
    </w:p>
    <w:p w14:paraId="7333A685" w14:textId="623A8CDE" w:rsidR="000F4059" w:rsidRPr="000F4059" w:rsidRDefault="000F4059" w:rsidP="001C5F99">
      <w:pPr>
        <w:rPr>
          <w:szCs w:val="20"/>
        </w:rPr>
      </w:pPr>
    </w:p>
    <w:p w14:paraId="1095AFA9" w14:textId="6F075DDF" w:rsidR="000F4059" w:rsidRPr="000F4059" w:rsidRDefault="000F4059" w:rsidP="001C5F99">
      <w:pPr>
        <w:outlineLvl w:val="0"/>
        <w:rPr>
          <w:rFonts w:eastAsiaTheme="majorEastAsia" w:cstheme="majorBidi"/>
          <w:b/>
          <w:color w:val="72A7A4"/>
          <w:sz w:val="26"/>
          <w:szCs w:val="26"/>
        </w:rPr>
      </w:pPr>
      <w:r w:rsidRPr="000F4059">
        <w:rPr>
          <w:rFonts w:eastAsiaTheme="majorEastAsia" w:cstheme="majorBidi"/>
          <w:b/>
          <w:color w:val="72A7A4"/>
          <w:sz w:val="26"/>
          <w:szCs w:val="26"/>
        </w:rPr>
        <w:lastRenderedPageBreak/>
        <w:t>Handschuhe zum Schutz vor Epoxidharzen</w:t>
      </w:r>
    </w:p>
    <w:p w14:paraId="59808FE8" w14:textId="37A373D3" w:rsidR="000F4059" w:rsidRPr="000F4059" w:rsidRDefault="000F4059" w:rsidP="001C5F99">
      <w:r w:rsidRPr="000F4059">
        <w:t xml:space="preserve">Beim Verarbeiten von Epoxidharzen sollten ausschließlich Chemikalienschutzhandschuhe aus Nitril oder Butyl verwendet werden. Bei lösemittelhaltigen Epoxidharzen muss der Handschuh auf das jeweilige Lösemittel abgestimmt sein. Die Berufsgenossenschaft der Bauwirtschaft nennt auf der Plattform </w:t>
      </w:r>
      <w:r w:rsidRPr="000F4059">
        <w:rPr>
          <w:b/>
        </w:rPr>
        <w:t>GISBAU</w:t>
      </w:r>
      <w:r w:rsidRPr="000F4059">
        <w:t xml:space="preserve"> Handschuhmodelle verschiedener Hersteller, die zum Schutz vor Epoxidharzen geeignet sind: </w:t>
      </w:r>
      <w:hyperlink r:id="rId14" w:history="1">
        <w:r w:rsidRPr="000F4059">
          <w:t>http://www.bgbau.de/gisbau/fachthemen/epoxi/expotab.html</w:t>
        </w:r>
      </w:hyperlink>
      <w:r w:rsidRPr="000F4059">
        <w:t xml:space="preserve">. </w:t>
      </w:r>
    </w:p>
    <w:p w14:paraId="341D9141" w14:textId="3B467C9F" w:rsidR="000F4059" w:rsidRPr="000F4059" w:rsidRDefault="000F4059" w:rsidP="001C5F99">
      <w:r w:rsidRPr="000F4059">
        <w:rPr>
          <w:b/>
        </w:rPr>
        <w:t>Nicht geeignet</w:t>
      </w:r>
      <w:r w:rsidRPr="000F4059">
        <w:t xml:space="preserve"> für die Verarbeitung von Epoxidharzen sind zum Beispiel: </w:t>
      </w:r>
    </w:p>
    <w:p w14:paraId="4DE6954F" w14:textId="77777777" w:rsidR="00B26CEC" w:rsidRPr="00B26CEC" w:rsidRDefault="00B26CEC" w:rsidP="001C5F99">
      <w:pPr>
        <w:numPr>
          <w:ilvl w:val="0"/>
          <w:numId w:val="3"/>
        </w:numPr>
        <w:tabs>
          <w:tab w:val="clear" w:pos="720"/>
          <w:tab w:val="num" w:pos="426"/>
        </w:tabs>
        <w:spacing w:after="100"/>
        <w:ind w:left="425" w:hanging="425"/>
      </w:pPr>
      <w:r w:rsidRPr="00B26CEC">
        <w:t>Lederhandschuhe</w:t>
      </w:r>
    </w:p>
    <w:p w14:paraId="21FACEB1" w14:textId="77777777" w:rsidR="00B26CEC" w:rsidRPr="00B26CEC" w:rsidRDefault="00B26CEC" w:rsidP="001C5F99">
      <w:pPr>
        <w:numPr>
          <w:ilvl w:val="0"/>
          <w:numId w:val="3"/>
        </w:numPr>
        <w:tabs>
          <w:tab w:val="clear" w:pos="720"/>
          <w:tab w:val="num" w:pos="426"/>
        </w:tabs>
        <w:spacing w:after="100"/>
        <w:ind w:left="425" w:hanging="425"/>
      </w:pPr>
      <w:r w:rsidRPr="00B26CEC">
        <w:t xml:space="preserve">teilbeschichtete Stoffhandschuhe </w:t>
      </w:r>
    </w:p>
    <w:p w14:paraId="7CB89A83" w14:textId="44D948A6" w:rsidR="00B26CEC" w:rsidRPr="00B26CEC" w:rsidRDefault="00B26CEC" w:rsidP="001C5F99">
      <w:pPr>
        <w:numPr>
          <w:ilvl w:val="0"/>
          <w:numId w:val="3"/>
        </w:numPr>
        <w:tabs>
          <w:tab w:val="clear" w:pos="720"/>
          <w:tab w:val="num" w:pos="426"/>
        </w:tabs>
        <w:spacing w:after="100"/>
        <w:ind w:left="425" w:hanging="425"/>
      </w:pPr>
      <w:r w:rsidRPr="00B26CEC">
        <w:t>dünne Einweghandschuh aus „Latex“ oder „Vinyl“</w:t>
      </w:r>
    </w:p>
    <w:p w14:paraId="19A7CEF5" w14:textId="3853A507" w:rsidR="000F4059" w:rsidRPr="000F4059" w:rsidRDefault="000F4059" w:rsidP="001C5F99">
      <w:pPr>
        <w:rPr>
          <w:i/>
        </w:rPr>
      </w:pPr>
      <w:r w:rsidRPr="000F4059">
        <w:rPr>
          <w:i/>
        </w:rPr>
        <w:t xml:space="preserve">Epoxidharze können Einweg-Handschuhe aus „Latex“ oder „Vinyl“ schnell durchwandern. Schutzhandschuhe, die nur vor mechanischen Gefahren schützen (z. B. Lederhandschuhe, teilbeschichtete Handschuhe), eignen sich grundsätzlich </w:t>
      </w:r>
      <w:r w:rsidRPr="000F4059">
        <w:rPr>
          <w:b/>
          <w:i/>
        </w:rPr>
        <w:t>nicht</w:t>
      </w:r>
      <w:r w:rsidRPr="000F4059">
        <w:rPr>
          <w:i/>
        </w:rPr>
        <w:t xml:space="preserve"> für den Umgang mit Chemikalien (z. B. Reinigungsmittel und Epoxidharze). Chemikalien können, z. B. durch Nähte, ins Handschuhinnere und auf die Haut gelangen. </w:t>
      </w:r>
    </w:p>
    <w:p w14:paraId="406EB903" w14:textId="77777777" w:rsidR="00C9773F" w:rsidRDefault="00C9773F" w:rsidP="001C5F99"/>
    <w:p w14:paraId="72BC7CC2" w14:textId="77777777" w:rsidR="00C9773F" w:rsidRDefault="00C9773F" w:rsidP="001C5F99"/>
    <w:p w14:paraId="6D8C0D85" w14:textId="2C46BAB4" w:rsidR="002C1E6C" w:rsidRDefault="002C1E6C" w:rsidP="001C5F99">
      <w:pPr>
        <w:rPr>
          <w:rFonts w:ascii="Comic Sans MS" w:hAnsi="Comic Sans MS"/>
          <w:i/>
          <w:noProof/>
          <w:color w:val="808080" w:themeColor="background1" w:themeShade="80"/>
        </w:rPr>
      </w:pPr>
    </w:p>
    <w:p w14:paraId="5FB0701B" w14:textId="5BA3CE8F" w:rsidR="000F4059" w:rsidRDefault="000F4059" w:rsidP="001C5F99">
      <w:pPr>
        <w:rPr>
          <w:rFonts w:ascii="Comic Sans MS" w:hAnsi="Comic Sans MS"/>
          <w:i/>
          <w:noProof/>
          <w:color w:val="808080" w:themeColor="background1" w:themeShade="80"/>
        </w:rPr>
      </w:pPr>
    </w:p>
    <w:p w14:paraId="0EC9A89C" w14:textId="3402CE4F" w:rsidR="000F4059" w:rsidRDefault="000F4059" w:rsidP="001C5F99">
      <w:pPr>
        <w:rPr>
          <w:rFonts w:ascii="Comic Sans MS" w:hAnsi="Comic Sans MS"/>
          <w:i/>
          <w:noProof/>
          <w:color w:val="808080" w:themeColor="background1" w:themeShade="80"/>
        </w:rPr>
      </w:pPr>
    </w:p>
    <w:p w14:paraId="69561241" w14:textId="1E8EE48C" w:rsidR="000F4059" w:rsidRDefault="000F4059" w:rsidP="001C5F99">
      <w:pPr>
        <w:rPr>
          <w:rFonts w:ascii="Comic Sans MS" w:hAnsi="Comic Sans MS"/>
          <w:i/>
          <w:noProof/>
          <w:color w:val="808080" w:themeColor="background1" w:themeShade="80"/>
        </w:rPr>
      </w:pPr>
    </w:p>
    <w:p w14:paraId="42412CCD" w14:textId="02C13151" w:rsidR="00A45302" w:rsidRPr="00A45302" w:rsidRDefault="00A45302" w:rsidP="001C5F99"/>
    <w:sectPr w:rsidR="00A45302" w:rsidRPr="00A45302" w:rsidSect="00096488">
      <w:headerReference w:type="even" r:id="rId15"/>
      <w:headerReference w:type="default" r:id="rId16"/>
      <w:footerReference w:type="even" r:id="rId17"/>
      <w:footerReference w:type="default" r:id="rId18"/>
      <w:headerReference w:type="first" r:id="rId19"/>
      <w:footerReference w:type="first" r:id="rId20"/>
      <w:pgSz w:w="11900" w:h="16840"/>
      <w:pgMar w:top="1134" w:right="1418" w:bottom="1134" w:left="1134" w:header="1134" w:footer="510"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D909D" w14:textId="77777777" w:rsidR="00544DDE" w:rsidRDefault="00544DDE" w:rsidP="00F46957">
      <w:pPr>
        <w:spacing w:after="0"/>
      </w:pPr>
      <w:r>
        <w:separator/>
      </w:r>
    </w:p>
  </w:endnote>
  <w:endnote w:type="continuationSeparator" w:id="0">
    <w:p w14:paraId="6D5E7521" w14:textId="77777777" w:rsidR="00544DDE" w:rsidRDefault="00544DDE" w:rsidP="00F46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B52A9" w14:textId="77777777" w:rsidR="0020653D" w:rsidRDefault="00206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7D863" w14:textId="77777777" w:rsidR="004F2188" w:rsidRDefault="004F2188" w:rsidP="004F2188">
    <w:pPr>
      <w:pStyle w:val="Fuzeile"/>
    </w:pPr>
    <w:bookmarkStart w:id="0" w:name="_GoBack"/>
    <w:bookmarkEnd w:id="0"/>
  </w:p>
  <w:p w14:paraId="2D646D7D" w14:textId="03649BFA" w:rsidR="004F2188" w:rsidRDefault="004F2188" w:rsidP="004F2188">
    <w:pPr>
      <w:jc w:val="right"/>
    </w:pPr>
    <w:r w:rsidRPr="00D405CC">
      <w:rPr>
        <w:noProof/>
        <w:position w:val="-8"/>
        <w:lang w:eastAsia="de-DE"/>
      </w:rPr>
      <w:drawing>
        <wp:inline distT="0" distB="0" distL="0" distR="0" wp14:anchorId="315AA5A7" wp14:editId="7D91CB22">
          <wp:extent cx="860400" cy="176400"/>
          <wp:effectExtent l="0" t="0" r="3810" b="1905"/>
          <wp:docPr id="200" name="Bild 10"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Pr>
        <w:rStyle w:val="Buchtitel"/>
      </w:rPr>
      <w:t>| </w:t>
    </w:r>
    <w:r w:rsidR="00426F8E" w:rsidRPr="00426F8E">
      <w:rPr>
        <w:bCs/>
        <w:iCs/>
        <w:spacing w:val="5"/>
      </w:rPr>
      <w:t xml:space="preserve">Handschuhschutz beim Verarbeiten von Epoxidharzen </w:t>
    </w:r>
    <w:r>
      <w:t xml:space="preserve">| Stand 04.06.2018 | Seite </w:t>
    </w:r>
    <w:r>
      <w:fldChar w:fldCharType="begin"/>
    </w:r>
    <w:r>
      <w:instrText xml:space="preserve"> PAGE  \* MERGEFORMAT </w:instrText>
    </w:r>
    <w:r>
      <w:fldChar w:fldCharType="separate"/>
    </w:r>
    <w:r w:rsidR="00426F8E">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E45E" w14:textId="7CF98658" w:rsidR="0042733E" w:rsidRDefault="0042733E">
    <w:pPr>
      <w:pStyle w:val="Fuzeile"/>
    </w:pPr>
  </w:p>
  <w:p w14:paraId="662417C6" w14:textId="39F4861E" w:rsidR="0042733E" w:rsidRDefault="00166D34" w:rsidP="00D405CC">
    <w:pPr>
      <w:jc w:val="right"/>
    </w:pPr>
    <w:r w:rsidRPr="00D405CC">
      <w:rPr>
        <w:noProof/>
        <w:position w:val="-8"/>
        <w:lang w:eastAsia="de-DE"/>
      </w:rPr>
      <w:drawing>
        <wp:inline distT="0" distB="0" distL="0" distR="0" wp14:anchorId="52B27EA1" wp14:editId="486AAAE8">
          <wp:extent cx="860400" cy="176400"/>
          <wp:effectExtent l="0" t="0" r="3810" b="1905"/>
          <wp:docPr id="202" name="Bild 9"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sidR="00D405CC">
      <w:rPr>
        <w:rStyle w:val="Buchtitel"/>
      </w:rPr>
      <w:t>| </w:t>
    </w:r>
    <w:r w:rsidR="00E55877">
      <w:rPr>
        <w:rStyle w:val="Buchtitel"/>
      </w:rPr>
      <w:t>Handschuhschutz beim Verarbeiten von Epoxidharzen</w:t>
    </w:r>
    <w:r>
      <w:t xml:space="preserve"> </w:t>
    </w:r>
    <w:r w:rsidR="004F2188">
      <w:t>|</w:t>
    </w:r>
    <w:r>
      <w:t xml:space="preserve"> Stand 04.06.2018 | </w:t>
    </w:r>
    <w:r w:rsidR="004F2188">
      <w:t xml:space="preserve">Seite </w:t>
    </w:r>
    <w:r w:rsidR="004F2188">
      <w:fldChar w:fldCharType="begin"/>
    </w:r>
    <w:r w:rsidR="004F2188">
      <w:instrText xml:space="preserve"> PAGE  \* MERGEFORMAT </w:instrText>
    </w:r>
    <w:r w:rsidR="004F2188">
      <w:fldChar w:fldCharType="separate"/>
    </w:r>
    <w:r w:rsidR="00426F8E">
      <w:rPr>
        <w:noProof/>
      </w:rPr>
      <w:t>1</w:t>
    </w:r>
    <w:r w:rsidR="004F218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5A939" w14:textId="77777777" w:rsidR="00544DDE" w:rsidRDefault="00544DDE" w:rsidP="00F46957">
      <w:pPr>
        <w:spacing w:after="0"/>
      </w:pPr>
      <w:r>
        <w:separator/>
      </w:r>
    </w:p>
  </w:footnote>
  <w:footnote w:type="continuationSeparator" w:id="0">
    <w:p w14:paraId="65A647E8" w14:textId="77777777" w:rsidR="00544DDE" w:rsidRDefault="00544DDE" w:rsidP="00F46957">
      <w:pPr>
        <w:spacing w:after="0"/>
      </w:pPr>
      <w:r>
        <w:continuationSeparator/>
      </w:r>
    </w:p>
  </w:footnote>
  <w:footnote w:id="1">
    <w:p w14:paraId="455AF5F5" w14:textId="077595AC" w:rsidR="002D24A1" w:rsidRPr="002D24A1" w:rsidRDefault="002D24A1" w:rsidP="002D24A1">
      <w:pPr>
        <w:pStyle w:val="Funotentext"/>
        <w:ind w:left="142" w:hanging="142"/>
        <w:rPr>
          <w:sz w:val="18"/>
          <w:szCs w:val="18"/>
        </w:rPr>
      </w:pPr>
      <w:r w:rsidRPr="002D24A1">
        <w:rPr>
          <w:rStyle w:val="Funotenzeichen"/>
          <w:sz w:val="18"/>
          <w:szCs w:val="18"/>
        </w:rPr>
        <w:footnoteRef/>
      </w:r>
      <w:r w:rsidRPr="002D24A1">
        <w:rPr>
          <w:sz w:val="18"/>
          <w:szCs w:val="18"/>
        </w:rPr>
        <w:t xml:space="preserve"> Verfügbar unter: </w:t>
      </w:r>
      <w:hyperlink r:id="rId1" w:history="1">
        <w:r w:rsidRPr="002D24A1">
          <w:rPr>
            <w:sz w:val="18"/>
            <w:szCs w:val="18"/>
          </w:rPr>
          <w:t>http://publikationen.dguv.de/dguv/pdf/10002/r-195.pdf</w:t>
        </w:r>
      </w:hyperlink>
    </w:p>
  </w:footnote>
  <w:footnote w:id="2">
    <w:p w14:paraId="637026D2" w14:textId="11E563F3" w:rsidR="00E07576" w:rsidRDefault="00E07576">
      <w:pPr>
        <w:pStyle w:val="Funotentext"/>
      </w:pPr>
      <w:r>
        <w:rPr>
          <w:rStyle w:val="Funotenzeichen"/>
        </w:rPr>
        <w:footnoteRef/>
      </w:r>
      <w:r>
        <w:t xml:space="preserve"> Verfügbar unter: </w:t>
      </w:r>
      <w:hyperlink r:id="rId2" w:history="1">
        <w:r w:rsidRPr="004F05A4">
          <w:t>http://publikationen.dguv.de/dguv/pdf/10002/i-868.pdf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2018C" w14:textId="77777777" w:rsidR="0020653D" w:rsidRDefault="00206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2430F" w14:textId="00B77ED0" w:rsidR="00F46957" w:rsidRDefault="00F46957">
    <w:pPr>
      <w:pStyle w:val="Kopfzeile"/>
    </w:pPr>
  </w:p>
  <w:p w14:paraId="16A47EC9" w14:textId="77777777" w:rsidR="00F46957" w:rsidRDefault="00F4695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640A1" w14:textId="77777777" w:rsidR="00935205" w:rsidRDefault="00F64690" w:rsidP="00A00CEE">
    <w:pPr>
      <w:pStyle w:val="berschrift1"/>
      <w:tabs>
        <w:tab w:val="left" w:pos="8104"/>
        <w:tab w:val="right" w:pos="9348"/>
      </w:tabs>
    </w:pPr>
    <w:r>
      <w:rPr>
        <w:noProof/>
        <w:lang w:eastAsia="de-DE"/>
        <w14:ligatures w14:val="none"/>
      </w:rPr>
      <mc:AlternateContent>
        <mc:Choice Requires="wps">
          <w:drawing>
            <wp:anchor distT="0" distB="0" distL="114300" distR="114300" simplePos="0" relativeHeight="251664384" behindDoc="0" locked="0" layoutInCell="1" allowOverlap="1" wp14:anchorId="674C2059" wp14:editId="35334982">
              <wp:simplePos x="0" y="0"/>
              <wp:positionH relativeFrom="column">
                <wp:posOffset>5185491</wp:posOffset>
              </wp:positionH>
              <wp:positionV relativeFrom="paragraph">
                <wp:posOffset>-260350</wp:posOffset>
              </wp:positionV>
              <wp:extent cx="1143000" cy="459740"/>
              <wp:effectExtent l="0" t="0" r="0" b="0"/>
              <wp:wrapNone/>
              <wp:docPr id="8" name="Textfeld 8"/>
              <wp:cNvGraphicFramePr/>
              <a:graphic xmlns:a="http://schemas.openxmlformats.org/drawingml/2006/main">
                <a:graphicData uri="http://schemas.microsoft.com/office/word/2010/wordprocessingShape">
                  <wps:wsp>
                    <wps:cNvSpPr txBox="1"/>
                    <wps:spPr>
                      <a:xfrm>
                        <a:off x="0" y="0"/>
                        <a:ext cx="11430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4F34CD" w14:textId="7E6B1690" w:rsidR="00F64690" w:rsidRDefault="00F64690" w:rsidP="00F64690">
                          <w:pPr>
                            <w:pStyle w:val="KeinLeerraum"/>
                            <w:jc w:val="right"/>
                          </w:pPr>
                          <w:r>
                            <w:t>B 2.1</w:t>
                          </w:r>
                          <w:r w:rsidR="0020653D">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4C2059" id="_x0000_t202" coordsize="21600,21600" o:spt="202" path="m,l,21600r21600,l21600,xe">
              <v:stroke joinstyle="miter"/>
              <v:path gradientshapeok="t" o:connecttype="rect"/>
            </v:shapetype>
            <v:shape id="Textfeld 8" o:spid="_x0000_s1032" type="#_x0000_t202" style="position:absolute;margin-left:408.3pt;margin-top:-20.5pt;width:90pt;height:36.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" filled="f" stroked="f">
              <v:textbox>
                <w:txbxContent>
                  <w:p w14:paraId="084F34CD" w14:textId="7E6B1690" w:rsidR="00F64690" w:rsidRDefault="00F64690" w:rsidP="00F64690">
                    <w:pPr>
                      <w:pStyle w:val="KeinLeerraum"/>
                      <w:jc w:val="right"/>
                    </w:pPr>
                    <w:r>
                      <w:t>B 2.1</w:t>
                    </w:r>
                    <w:r w:rsidR="0020653D">
                      <w:t>L</w:t>
                    </w:r>
                  </w:p>
                </w:txbxContent>
              </v:textbox>
            </v:shape>
          </w:pict>
        </mc:Fallback>
      </mc:AlternateContent>
    </w:r>
    <w:r>
      <w:rPr>
        <w:noProof/>
        <w:lang w:eastAsia="de-DE"/>
        <w14:ligatures w14:val="none"/>
      </w:rPr>
      <w:drawing>
        <wp:anchor distT="0" distB="0" distL="114300" distR="114300" simplePos="0" relativeHeight="251662336" behindDoc="1" locked="0" layoutInCell="1" allowOverlap="1" wp14:anchorId="53F73166" wp14:editId="3A46E1EF">
          <wp:simplePos x="0" y="0"/>
          <wp:positionH relativeFrom="column">
            <wp:posOffset>3981990</wp:posOffset>
          </wp:positionH>
          <wp:positionV relativeFrom="paragraph">
            <wp:posOffset>-490004</wp:posOffset>
          </wp:positionV>
          <wp:extent cx="2608580" cy="2059940"/>
          <wp:effectExtent l="0" t="0" r="7620" b="0"/>
          <wp:wrapNone/>
          <wp:docPr id="20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bkreis.png"/>
                  <pic:cNvPicPr/>
                </pic:nvPicPr>
                <pic:blipFill>
                  <a:blip r:embed="rId1">
                    <a:extLst>
                      <a:ext uri="{28A0092B-C50C-407E-A947-70E740481C1C}">
                        <a14:useLocalDpi xmlns:a14="http://schemas.microsoft.com/office/drawing/2010/main" val="0"/>
                      </a:ext>
                    </a:extLst>
                  </a:blip>
                  <a:stretch>
                    <a:fillRect/>
                  </a:stretch>
                </pic:blipFill>
                <pic:spPr>
                  <a:xfrm>
                    <a:off x="0" y="0"/>
                    <a:ext cx="2608580" cy="2059940"/>
                  </a:xfrm>
                  <a:prstGeom prst="rect">
                    <a:avLst/>
                  </a:prstGeom>
                </pic:spPr>
              </pic:pic>
            </a:graphicData>
          </a:graphic>
          <wp14:sizeRelH relativeFrom="margin">
            <wp14:pctWidth>0</wp14:pctWidth>
          </wp14:sizeRelH>
          <wp14:sizeRelV relativeFrom="margin">
            <wp14:pctHeight>0</wp14:pctHeight>
          </wp14:sizeRelV>
        </wp:anchor>
      </w:drawing>
    </w:r>
    <w:r w:rsidR="00935205">
      <w:t xml:space="preserve">Handschuhschutz </w:t>
    </w:r>
  </w:p>
  <w:p w14:paraId="189164B7" w14:textId="05B09F70" w:rsidR="00935205" w:rsidRDefault="00935205" w:rsidP="00A00CEE">
    <w:pPr>
      <w:pStyle w:val="berschrift1"/>
      <w:tabs>
        <w:tab w:val="left" w:pos="8104"/>
        <w:tab w:val="right" w:pos="9348"/>
      </w:tabs>
    </w:pPr>
    <w:r>
      <w:t xml:space="preserve">beim Verarbeiten von </w:t>
    </w:r>
  </w:p>
  <w:p w14:paraId="65A846F0" w14:textId="0D43824B" w:rsidR="00A33FFB" w:rsidRDefault="00935205" w:rsidP="00935205">
    <w:pPr>
      <w:pStyle w:val="berschrift1"/>
      <w:tabs>
        <w:tab w:val="left" w:pos="8104"/>
        <w:tab w:val="right" w:pos="9348"/>
      </w:tabs>
    </w:pPr>
    <w:r>
      <w:t xml:space="preserve">Epoxidharzen </w:t>
    </w:r>
    <w:r w:rsidR="00A00CEE">
      <w:tab/>
    </w:r>
    <w:r w:rsidR="00A00CEE">
      <w:rPr>
        <w:noProof/>
        <w:lang w:eastAsia="de-DE"/>
        <w14:ligatures w14:val="none"/>
      </w:rPr>
      <mc:AlternateContent>
        <mc:Choice Requires="wps">
          <w:drawing>
            <wp:anchor distT="0" distB="0" distL="114300" distR="114300" simplePos="0" relativeHeight="251663360" behindDoc="0" locked="0" layoutInCell="1" allowOverlap="1" wp14:anchorId="5FDDBFC4" wp14:editId="5619FFE4">
              <wp:simplePos x="0" y="0"/>
              <wp:positionH relativeFrom="column">
                <wp:posOffset>4106342</wp:posOffset>
              </wp:positionH>
              <wp:positionV relativeFrom="paragraph">
                <wp:posOffset>2769978</wp:posOffset>
              </wp:positionV>
              <wp:extent cx="702107" cy="571608"/>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702107" cy="57160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080E11" w14:textId="77777777" w:rsidR="00A00CEE" w:rsidRDefault="00A00C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BFC4" id="Textfeld 5" o:spid="_x0000_s1033" type="#_x0000_t202" style="position:absolute;margin-left:323.35pt;margin-top:218.1pt;width:55.3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" filled="f" stroked="f">
              <v:textbox>
                <w:txbxContent>
                  <w:p w14:paraId="33080E11" w14:textId="77777777" w:rsidR="00A00CEE" w:rsidRDefault="00A00CEE"/>
                </w:txbxContent>
              </v:textbox>
            </v:shape>
          </w:pict>
        </mc:Fallback>
      </mc:AlternateContent>
    </w:r>
    <w:r w:rsidR="00A00CE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986AE9"/>
    <w:multiLevelType w:val="multilevel"/>
    <w:tmpl w:val="6AAA73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CD27A1"/>
    <w:multiLevelType w:val="multilevel"/>
    <w:tmpl w:val="EA02F0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drawingGridHorizontalSpacing w:val="10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B81"/>
    <w:rsid w:val="00096488"/>
    <w:rsid w:val="000F4059"/>
    <w:rsid w:val="00166D34"/>
    <w:rsid w:val="0019793C"/>
    <w:rsid w:val="001B799B"/>
    <w:rsid w:val="001C3538"/>
    <w:rsid w:val="001C5F99"/>
    <w:rsid w:val="001F3A8E"/>
    <w:rsid w:val="0020653D"/>
    <w:rsid w:val="00252C75"/>
    <w:rsid w:val="0026366A"/>
    <w:rsid w:val="002C1E6C"/>
    <w:rsid w:val="002D24A1"/>
    <w:rsid w:val="00426F8E"/>
    <w:rsid w:val="0042733E"/>
    <w:rsid w:val="00457B81"/>
    <w:rsid w:val="004E7EA0"/>
    <w:rsid w:val="004F2188"/>
    <w:rsid w:val="00544DDE"/>
    <w:rsid w:val="005741C8"/>
    <w:rsid w:val="0063678F"/>
    <w:rsid w:val="007208A5"/>
    <w:rsid w:val="007C7850"/>
    <w:rsid w:val="008A4963"/>
    <w:rsid w:val="00935205"/>
    <w:rsid w:val="009F756E"/>
    <w:rsid w:val="00A00CEE"/>
    <w:rsid w:val="00A33FFB"/>
    <w:rsid w:val="00A45302"/>
    <w:rsid w:val="00A53073"/>
    <w:rsid w:val="00B26CEC"/>
    <w:rsid w:val="00C130DF"/>
    <w:rsid w:val="00C9085C"/>
    <w:rsid w:val="00C9773F"/>
    <w:rsid w:val="00CE5594"/>
    <w:rsid w:val="00D07A29"/>
    <w:rsid w:val="00D405CC"/>
    <w:rsid w:val="00E07576"/>
    <w:rsid w:val="00E15992"/>
    <w:rsid w:val="00E55877"/>
    <w:rsid w:val="00EA5ACD"/>
    <w:rsid w:val="00ED2B8B"/>
    <w:rsid w:val="00EF0742"/>
    <w:rsid w:val="00F46957"/>
    <w:rsid w:val="00F64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6395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0CEE"/>
    <w:pPr>
      <w:spacing w:after="200"/>
    </w:pPr>
    <w:rPr>
      <w:rFonts w:ascii="Cambria" w:hAnsi="Cambria"/>
      <w:sz w:val="20"/>
    </w:rPr>
  </w:style>
  <w:style w:type="paragraph" w:styleId="berschrift1">
    <w:name w:val="heading 1"/>
    <w:basedOn w:val="Standard"/>
    <w:next w:val="Standard"/>
    <w:link w:val="berschrift1Zchn"/>
    <w:uiPriority w:val="9"/>
    <w:qFormat/>
    <w:rsid w:val="00A00CEE"/>
    <w:pPr>
      <w:keepNext/>
      <w:keepLines/>
      <w:spacing w:after="1200" w:line="216" w:lineRule="auto"/>
      <w:contextualSpacing/>
      <w:outlineLvl w:val="0"/>
    </w:pPr>
    <w:rPr>
      <w:rFonts w:ascii="Arial Narrow" w:eastAsiaTheme="majorEastAsia" w:hAnsi="Arial Narrow" w:cstheme="majorBidi"/>
      <w:color w:val="72A7A4"/>
      <w:sz w:val="74"/>
      <w:szCs w:val="74"/>
      <w14:ligatures w14:val="standard"/>
    </w:rPr>
  </w:style>
  <w:style w:type="paragraph" w:styleId="berschrift2">
    <w:name w:val="heading 2"/>
    <w:basedOn w:val="Standard"/>
    <w:next w:val="Standard"/>
    <w:link w:val="berschrift2Zchn"/>
    <w:uiPriority w:val="9"/>
    <w:unhideWhenUsed/>
    <w:qFormat/>
    <w:rsid w:val="00A33FFB"/>
    <w:pPr>
      <w:keepNext/>
      <w:keepLines/>
      <w:spacing w:before="40" w:after="240"/>
      <w:contextualSpacing/>
      <w:outlineLvl w:val="1"/>
    </w:pPr>
    <w:rPr>
      <w:rFonts w:asciiTheme="majorHAnsi" w:eastAsiaTheme="majorEastAsia" w:hAnsiTheme="majorHAnsi" w:cstheme="majorBidi"/>
      <w:b/>
      <w:color w:val="72A7A4"/>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0CEE"/>
    <w:rPr>
      <w:rFonts w:ascii="Arial Narrow" w:eastAsiaTheme="majorEastAsia" w:hAnsi="Arial Narrow" w:cstheme="majorBidi"/>
      <w:color w:val="72A7A4"/>
      <w:sz w:val="74"/>
      <w:szCs w:val="74"/>
      <w14:ligatures w14:val="standard"/>
    </w:rPr>
  </w:style>
  <w:style w:type="character" w:customStyle="1" w:styleId="berschrift2Zchn">
    <w:name w:val="Überschrift 2 Zchn"/>
    <w:basedOn w:val="Absatz-Standardschriftart"/>
    <w:link w:val="berschrift2"/>
    <w:uiPriority w:val="9"/>
    <w:rsid w:val="00A33FFB"/>
    <w:rPr>
      <w:rFonts w:asciiTheme="majorHAnsi" w:eastAsiaTheme="majorEastAsia" w:hAnsiTheme="majorHAnsi" w:cstheme="majorBidi"/>
      <w:b/>
      <w:color w:val="72A7A4"/>
      <w:sz w:val="26"/>
      <w:szCs w:val="26"/>
    </w:rPr>
  </w:style>
  <w:style w:type="paragraph" w:styleId="Kopfzeile">
    <w:name w:val="header"/>
    <w:basedOn w:val="Standard"/>
    <w:link w:val="KopfzeileZchn"/>
    <w:uiPriority w:val="99"/>
    <w:unhideWhenUsed/>
    <w:rsid w:val="00F46957"/>
    <w:pPr>
      <w:tabs>
        <w:tab w:val="center" w:pos="4536"/>
        <w:tab w:val="right" w:pos="9072"/>
      </w:tabs>
    </w:pPr>
  </w:style>
  <w:style w:type="character" w:customStyle="1" w:styleId="KopfzeileZchn">
    <w:name w:val="Kopfzeile Zchn"/>
    <w:basedOn w:val="Absatz-Standardschriftart"/>
    <w:link w:val="Kopfzeile"/>
    <w:uiPriority w:val="99"/>
    <w:rsid w:val="00F46957"/>
    <w:rPr>
      <w:rFonts w:ascii="Cambria" w:hAnsi="Cambria"/>
      <w:sz w:val="20"/>
    </w:rPr>
  </w:style>
  <w:style w:type="paragraph" w:styleId="Fuzeile">
    <w:name w:val="footer"/>
    <w:basedOn w:val="Standard"/>
    <w:link w:val="FuzeileZchn"/>
    <w:uiPriority w:val="99"/>
    <w:unhideWhenUsed/>
    <w:rsid w:val="00F46957"/>
    <w:pPr>
      <w:tabs>
        <w:tab w:val="center" w:pos="4536"/>
        <w:tab w:val="right" w:pos="9072"/>
      </w:tabs>
    </w:pPr>
  </w:style>
  <w:style w:type="character" w:customStyle="1" w:styleId="FuzeileZchn">
    <w:name w:val="Fußzeile Zchn"/>
    <w:basedOn w:val="Absatz-Standardschriftart"/>
    <w:link w:val="Fuzeile"/>
    <w:uiPriority w:val="99"/>
    <w:rsid w:val="00F46957"/>
    <w:rPr>
      <w:rFonts w:ascii="Cambria" w:hAnsi="Cambria"/>
      <w:sz w:val="20"/>
    </w:rPr>
  </w:style>
  <w:style w:type="paragraph" w:styleId="KeinLeerraum">
    <w:name w:val="No Spacing"/>
    <w:aliases w:val="Bezeichnung Kopfzeile"/>
    <w:uiPriority w:val="1"/>
    <w:qFormat/>
    <w:rsid w:val="0042733E"/>
    <w:rPr>
      <w:rFonts w:ascii="Arial Narrow" w:hAnsi="Arial Narrow"/>
      <w:color w:val="CDDBDA"/>
      <w:sz w:val="52"/>
    </w:rPr>
  </w:style>
  <w:style w:type="character" w:styleId="Buchtitel">
    <w:name w:val="Book Title"/>
    <w:aliases w:val="Fußnote"/>
    <w:basedOn w:val="Absatz-Standardschriftart"/>
    <w:uiPriority w:val="33"/>
    <w:rsid w:val="00C130DF"/>
    <w:rPr>
      <w:bCs/>
      <w:iCs/>
      <w:spacing w:val="5"/>
    </w:rPr>
  </w:style>
  <w:style w:type="paragraph" w:styleId="Untertitel">
    <w:name w:val="Subtitle"/>
    <w:basedOn w:val="Standard"/>
    <w:next w:val="Standard"/>
    <w:link w:val="UntertitelZchn"/>
    <w:uiPriority w:val="11"/>
    <w:rsid w:val="00C130DF"/>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UntertitelZchn">
    <w:name w:val="Untertitel Zchn"/>
    <w:basedOn w:val="Absatz-Standardschriftart"/>
    <w:link w:val="Untertitel"/>
    <w:uiPriority w:val="11"/>
    <w:rsid w:val="00C130DF"/>
    <w:rPr>
      <w:rFonts w:eastAsiaTheme="minorEastAsia"/>
      <w:color w:val="5A5A5A" w:themeColor="text1" w:themeTint="A5"/>
      <w:spacing w:val="15"/>
      <w:sz w:val="22"/>
      <w:szCs w:val="22"/>
    </w:rPr>
  </w:style>
  <w:style w:type="character" w:styleId="Seitenzahl">
    <w:name w:val="page number"/>
    <w:basedOn w:val="Absatz-Standardschriftart"/>
    <w:uiPriority w:val="99"/>
    <w:semiHidden/>
    <w:unhideWhenUsed/>
    <w:rsid w:val="004F2188"/>
  </w:style>
  <w:style w:type="paragraph" w:styleId="Beschriftung">
    <w:name w:val="caption"/>
    <w:basedOn w:val="Standard"/>
    <w:next w:val="Standard"/>
    <w:uiPriority w:val="35"/>
    <w:unhideWhenUsed/>
    <w:qFormat/>
    <w:rsid w:val="004E7EA0"/>
    <w:rPr>
      <w:i/>
      <w:iCs/>
      <w:color w:val="44546A" w:themeColor="text2"/>
      <w:sz w:val="18"/>
      <w:szCs w:val="18"/>
    </w:rPr>
  </w:style>
  <w:style w:type="paragraph" w:customStyle="1" w:styleId="Infoboxberschrift">
    <w:name w:val="Infobox Überschrift"/>
    <w:basedOn w:val="Standard"/>
    <w:next w:val="InfoboxFlietext"/>
    <w:qFormat/>
    <w:rsid w:val="00EF0742"/>
    <w:pPr>
      <w:spacing w:after="120"/>
    </w:pPr>
    <w:rPr>
      <w:b/>
      <w:i/>
      <w:color w:val="75A9A4"/>
      <w:sz w:val="18"/>
      <w:szCs w:val="18"/>
    </w:rPr>
  </w:style>
  <w:style w:type="paragraph" w:customStyle="1" w:styleId="InfoboxFlietext">
    <w:name w:val="Infobox Fließtext"/>
    <w:basedOn w:val="Standard"/>
    <w:qFormat/>
    <w:rsid w:val="00EF0742"/>
    <w:rPr>
      <w:color w:val="75A9A4"/>
      <w:sz w:val="18"/>
    </w:rPr>
  </w:style>
  <w:style w:type="character" w:styleId="Kommentarzeichen">
    <w:name w:val="annotation reference"/>
    <w:basedOn w:val="Absatz-Standardschriftart"/>
    <w:uiPriority w:val="99"/>
    <w:semiHidden/>
    <w:unhideWhenUsed/>
    <w:rsid w:val="00935205"/>
    <w:rPr>
      <w:sz w:val="16"/>
      <w:szCs w:val="16"/>
    </w:rPr>
  </w:style>
  <w:style w:type="paragraph" w:styleId="Kommentartext">
    <w:name w:val="annotation text"/>
    <w:basedOn w:val="Standard"/>
    <w:link w:val="KommentartextZchn"/>
    <w:uiPriority w:val="99"/>
    <w:semiHidden/>
    <w:unhideWhenUsed/>
    <w:rsid w:val="00935205"/>
    <w:pPr>
      <w:spacing w:after="160"/>
    </w:pPr>
    <w:rPr>
      <w:rFonts w:asciiTheme="minorHAnsi" w:eastAsiaTheme="minorEastAsia" w:hAnsiTheme="minorHAnsi"/>
      <w:szCs w:val="20"/>
      <w:lang w:eastAsia="de-DE"/>
    </w:rPr>
  </w:style>
  <w:style w:type="character" w:customStyle="1" w:styleId="KommentartextZchn">
    <w:name w:val="Kommentartext Zchn"/>
    <w:basedOn w:val="Absatz-Standardschriftart"/>
    <w:link w:val="Kommentartext"/>
    <w:uiPriority w:val="99"/>
    <w:semiHidden/>
    <w:rsid w:val="00935205"/>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935205"/>
    <w:pPr>
      <w:spacing w:after="200"/>
    </w:pPr>
    <w:rPr>
      <w:rFonts w:ascii="Cambria" w:eastAsiaTheme="minorHAnsi" w:hAnsi="Cambria"/>
      <w:b/>
      <w:bCs/>
      <w:lang w:eastAsia="en-US"/>
    </w:rPr>
  </w:style>
  <w:style w:type="character" w:customStyle="1" w:styleId="KommentarthemaZchn">
    <w:name w:val="Kommentarthema Zchn"/>
    <w:basedOn w:val="KommentartextZchn"/>
    <w:link w:val="Kommentarthema"/>
    <w:uiPriority w:val="99"/>
    <w:semiHidden/>
    <w:rsid w:val="00935205"/>
    <w:rPr>
      <w:rFonts w:ascii="Cambria" w:eastAsiaTheme="minorEastAsia" w:hAnsi="Cambria"/>
      <w:b/>
      <w:bCs/>
      <w:sz w:val="20"/>
      <w:szCs w:val="20"/>
      <w:lang w:eastAsia="de-DE"/>
    </w:rPr>
  </w:style>
  <w:style w:type="paragraph" w:styleId="Sprechblasentext">
    <w:name w:val="Balloon Text"/>
    <w:basedOn w:val="Standard"/>
    <w:link w:val="SprechblasentextZchn"/>
    <w:uiPriority w:val="99"/>
    <w:semiHidden/>
    <w:unhideWhenUsed/>
    <w:rsid w:val="00935205"/>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35205"/>
    <w:rPr>
      <w:rFonts w:ascii="Segoe UI" w:hAnsi="Segoe UI" w:cs="Segoe UI"/>
      <w:sz w:val="18"/>
      <w:szCs w:val="18"/>
    </w:rPr>
  </w:style>
  <w:style w:type="paragraph" w:styleId="Listenabsatz">
    <w:name w:val="List Paragraph"/>
    <w:basedOn w:val="Standard"/>
    <w:uiPriority w:val="34"/>
    <w:rsid w:val="002C1E6C"/>
    <w:pPr>
      <w:ind w:left="720"/>
      <w:contextualSpacing/>
    </w:pPr>
  </w:style>
  <w:style w:type="paragraph" w:styleId="Funotentext">
    <w:name w:val="footnote text"/>
    <w:basedOn w:val="Standard"/>
    <w:link w:val="FunotentextZchn"/>
    <w:uiPriority w:val="99"/>
    <w:semiHidden/>
    <w:unhideWhenUsed/>
    <w:rsid w:val="002D24A1"/>
    <w:pPr>
      <w:spacing w:after="0"/>
    </w:pPr>
    <w:rPr>
      <w:szCs w:val="20"/>
    </w:rPr>
  </w:style>
  <w:style w:type="character" w:customStyle="1" w:styleId="FunotentextZchn">
    <w:name w:val="Fußnotentext Zchn"/>
    <w:basedOn w:val="Absatz-Standardschriftart"/>
    <w:link w:val="Funotentext"/>
    <w:uiPriority w:val="99"/>
    <w:semiHidden/>
    <w:rsid w:val="002D24A1"/>
    <w:rPr>
      <w:rFonts w:ascii="Cambria" w:hAnsi="Cambria"/>
      <w:sz w:val="20"/>
      <w:szCs w:val="20"/>
    </w:rPr>
  </w:style>
  <w:style w:type="character" w:styleId="Funotenzeichen">
    <w:name w:val="footnote reference"/>
    <w:basedOn w:val="Absatz-Standardschriftart"/>
    <w:uiPriority w:val="99"/>
    <w:semiHidden/>
    <w:unhideWhenUsed/>
    <w:rsid w:val="002D24A1"/>
    <w:rPr>
      <w:vertAlign w:val="superscript"/>
    </w:rPr>
  </w:style>
  <w:style w:type="character" w:styleId="Zeilennummer">
    <w:name w:val="line number"/>
    <w:basedOn w:val="Absatz-Standardschriftart"/>
    <w:uiPriority w:val="99"/>
    <w:semiHidden/>
    <w:unhideWhenUsed/>
    <w:rsid w:val="00C97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gbau.de/gisbau/fachthemen/epoxi/expotab.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publikationen.dguv.de/dguv/pdf/10002/i-868.pdf" TargetMode="External"/><Relationship Id="rId1" Type="http://schemas.openxmlformats.org/officeDocument/2006/relationships/hyperlink" Target="http://publikationen.dguv.de/dguv/pdf/10002/r-19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09519CA-00D0-46CF-AED5-55EFFB5A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1258</Words>
  <Characters>7928</Characters>
  <Application>Microsoft Office Word</Application>
  <DocSecurity>0</DocSecurity>
  <Lines>66</Lines>
  <Paragraphs>18</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
      <vt:lpstr>    Das folgende Beispiel </vt:lpstr>
      <vt:lpstr>    basiert auf einem realen Fall</vt:lpstr>
    </vt:vector>
  </TitlesOfParts>
  <Company/>
  <LinksUpToDate>false</LinksUpToDate>
  <CharactersWithSpaces>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Andreas Hansen</cp:lastModifiedBy>
  <cp:revision>10</cp:revision>
  <dcterms:created xsi:type="dcterms:W3CDTF">2018-08-16T14:55:00Z</dcterms:created>
  <dcterms:modified xsi:type="dcterms:W3CDTF">2018-09-28T12:51:00Z</dcterms:modified>
</cp:coreProperties>
</file>