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E7122" w14:textId="4E88C7D7" w:rsidR="00B75767" w:rsidRPr="00304EEC" w:rsidRDefault="00D07547" w:rsidP="00B75767">
      <w:pPr>
        <w:pStyle w:val="berschriftFlietext"/>
        <w:rPr>
          <w:sz w:val="24"/>
        </w:rPr>
      </w:pPr>
      <w:r w:rsidRPr="00304EEC">
        <w:rPr>
          <w:sz w:val="24"/>
        </w:rPr>
        <w:t>Welche Fehler sind bei Christian im Hinblick auf die Anwendung technischer, organisator</w:t>
      </w:r>
      <w:bookmarkStart w:id="0" w:name="_GoBack"/>
      <w:bookmarkEnd w:id="0"/>
      <w:r w:rsidRPr="00304EEC">
        <w:rPr>
          <w:sz w:val="24"/>
        </w:rPr>
        <w:t>ischer und persönlicher Schutzmaßnahmen passiert?</w:t>
      </w:r>
    </w:p>
    <w:p w14:paraId="60E0B552" w14:textId="77777777" w:rsidR="001F5F88" w:rsidRDefault="001F5F88" w:rsidP="00D07547">
      <w:pPr>
        <w:rPr>
          <w:b/>
        </w:rPr>
      </w:pPr>
    </w:p>
    <w:p w14:paraId="057FEFD3" w14:textId="77777777" w:rsidR="00D07547" w:rsidRPr="000B4658" w:rsidRDefault="00D07547" w:rsidP="00D07547">
      <w:pPr>
        <w:rPr>
          <w:b/>
          <w:sz w:val="22"/>
          <w:szCs w:val="22"/>
        </w:rPr>
      </w:pPr>
      <w:r w:rsidRPr="000B4658">
        <w:rPr>
          <w:b/>
          <w:sz w:val="22"/>
          <w:szCs w:val="22"/>
        </w:rPr>
        <w:t>Technische Schutzmaßnahmen:</w:t>
      </w:r>
    </w:p>
    <w:p w14:paraId="40032B51" w14:textId="4562643D" w:rsidR="00D07547" w:rsidRDefault="00D07547" w:rsidP="00D07547">
      <w:r>
        <w:t xml:space="preserve">Bei der Verarbeitung (siehe Lernsituation) hatte Christian direkten Hautkontakt zum </w:t>
      </w:r>
      <w:r w:rsidR="00776DAD">
        <w:t>E</w:t>
      </w:r>
      <w:r>
        <w:t xml:space="preserve">poxidharz-haltigen Produkt und am Ende des Arbeitstages mussten die benutzten Werkzeuge von Christian gereinigt werden. Zur Verhinderung des Hautkontaktes bieten sich in Abhängigkeit der zu verrichtenden Tätigkeit z. B. folgende </w:t>
      </w:r>
      <w:r w:rsidR="00776DAD">
        <w:t xml:space="preserve">technische Schutzmaßnahmen an: </w:t>
      </w:r>
    </w:p>
    <w:p w14:paraId="580583FD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>Es sollten geschlossene, automatisierte Mischsysteme verwendet werden, um den direkten Hautkontakt zu vermeiden.</w:t>
      </w:r>
    </w:p>
    <w:p w14:paraId="66A5549A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Es sollten Werkzeuge (z. B. Spatel, Rührstäbe) mit langen Stielen/Stäben verwendet werden. </w:t>
      </w:r>
    </w:p>
    <w:p w14:paraId="6FAB9406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>Es sollten spezielle Spritzschutz-Einrichtungen an (Farb-)Rollen angebracht werden („Spritzschutzschilder“).</w:t>
      </w:r>
    </w:p>
    <w:p w14:paraId="245AA297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Das Auftragen sollte durch Maschinen unterstützt werden. </w:t>
      </w:r>
    </w:p>
    <w:p w14:paraId="441C50CC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Epoxidharze sollten möglichst nah am Boden ausgegossen werden. </w:t>
      </w:r>
    </w:p>
    <w:p w14:paraId="0D548910" w14:textId="77777777" w:rsidR="001F5F88" w:rsidRPr="001F5F88" w:rsidRDefault="001F5F88" w:rsidP="001F5F88">
      <w:pPr>
        <w:numPr>
          <w:ilvl w:val="0"/>
          <w:numId w:val="5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Die Verwendung vollständig geschlossener Systeme (sog. „Epoxidkitts“), z. B. bei Injektionsharzen, ermöglicht die Verarbeitung mittels Non-Touch-Technik. </w:t>
      </w:r>
    </w:p>
    <w:p w14:paraId="7F1AF450" w14:textId="77777777" w:rsidR="001F5F88" w:rsidRPr="001F5F88" w:rsidRDefault="001F5F88" w:rsidP="001F5F88">
      <w:pPr>
        <w:numPr>
          <w:ilvl w:val="0"/>
          <w:numId w:val="6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Es sollten möglichst Einweg-Werkzeuge (z. B. Roller, Spatel, Eimer) verwendet werden, die nach der Verwendung verworfen werden. </w:t>
      </w:r>
    </w:p>
    <w:p w14:paraId="481BA888" w14:textId="77777777" w:rsidR="001F5F88" w:rsidRPr="001F5F88" w:rsidRDefault="001F5F88" w:rsidP="001F5F88">
      <w:pPr>
        <w:numPr>
          <w:ilvl w:val="0"/>
          <w:numId w:val="6"/>
        </w:numPr>
        <w:spacing w:after="0"/>
        <w:ind w:left="714" w:hanging="357"/>
        <w:rPr>
          <w:i/>
        </w:rPr>
      </w:pPr>
      <w:r w:rsidRPr="001F5F88">
        <w:rPr>
          <w:i/>
        </w:rPr>
        <w:t>Die genutzten Maschinen und Einrichtungen sollten leicht zu reinigen sein.</w:t>
      </w:r>
    </w:p>
    <w:p w14:paraId="2798FDF5" w14:textId="77777777" w:rsidR="001F5F88" w:rsidRDefault="001F5F88" w:rsidP="00D07547">
      <w:pPr>
        <w:rPr>
          <w:b/>
        </w:rPr>
      </w:pPr>
    </w:p>
    <w:p w14:paraId="627775CA" w14:textId="77777777" w:rsidR="00304EEC" w:rsidRDefault="00304EEC" w:rsidP="00D07547">
      <w:pPr>
        <w:rPr>
          <w:b/>
        </w:rPr>
      </w:pPr>
    </w:p>
    <w:p w14:paraId="02CA7FEE" w14:textId="77777777" w:rsidR="00D07547" w:rsidRPr="000B4658" w:rsidRDefault="00D07547" w:rsidP="00D07547">
      <w:pPr>
        <w:rPr>
          <w:b/>
          <w:sz w:val="22"/>
          <w:szCs w:val="22"/>
        </w:rPr>
      </w:pPr>
      <w:r w:rsidRPr="000B4658">
        <w:rPr>
          <w:b/>
          <w:sz w:val="22"/>
          <w:szCs w:val="22"/>
        </w:rPr>
        <w:t>Organisatorische Schutzmaßnahmen:</w:t>
      </w:r>
    </w:p>
    <w:p w14:paraId="76166E94" w14:textId="2D9A8356" w:rsidR="00D07547" w:rsidRDefault="00D07547" w:rsidP="00D07547">
      <w:r>
        <w:t>Christian hat häufig mit kaputten Handschuhen gearbeitet. Er wurde von seinem Chef darauf hingewiesen, Kosten zu sparen und Handschuhe nicht so oft wegzuwerfen.</w:t>
      </w:r>
    </w:p>
    <w:p w14:paraId="0EB980B6" w14:textId="77777777" w:rsidR="001F5F88" w:rsidRPr="001F5F88" w:rsidRDefault="001F5F88" w:rsidP="001F5F88">
      <w:pPr>
        <w:numPr>
          <w:ilvl w:val="0"/>
          <w:numId w:val="4"/>
        </w:numPr>
        <w:spacing w:after="0"/>
        <w:ind w:left="714" w:hanging="357"/>
        <w:rPr>
          <w:i/>
        </w:rPr>
      </w:pPr>
      <w:r w:rsidRPr="001F5F88">
        <w:rPr>
          <w:i/>
        </w:rPr>
        <w:t xml:space="preserve">Der Arbeitgeber ist verpflichtet, persönliche Schutzausrüstung (Handschuhe, Schutzhosen, etc.) in ausreichender Anzahl zur Verfügung zu stellen. </w:t>
      </w:r>
    </w:p>
    <w:p w14:paraId="7D8B87E7" w14:textId="77777777" w:rsidR="001F5F88" w:rsidRPr="001F5F88" w:rsidRDefault="001F5F88" w:rsidP="001F5F88">
      <w:pPr>
        <w:numPr>
          <w:ilvl w:val="0"/>
          <w:numId w:val="4"/>
        </w:numPr>
        <w:spacing w:after="0"/>
        <w:ind w:left="714" w:hanging="357"/>
        <w:rPr>
          <w:i/>
        </w:rPr>
      </w:pPr>
      <w:r w:rsidRPr="001F5F88">
        <w:rPr>
          <w:i/>
        </w:rPr>
        <w:t>Saubere Arbeitskleidung sollte am Arbeitsplatz zur Verfügung stehen.</w:t>
      </w:r>
    </w:p>
    <w:p w14:paraId="6CE99530" w14:textId="77777777" w:rsidR="001F5F88" w:rsidRPr="001F5F88" w:rsidRDefault="001F5F88" w:rsidP="001F5F88">
      <w:pPr>
        <w:numPr>
          <w:ilvl w:val="0"/>
          <w:numId w:val="4"/>
        </w:numPr>
        <w:spacing w:after="0"/>
        <w:ind w:left="714" w:hanging="357"/>
        <w:rPr>
          <w:i/>
        </w:rPr>
      </w:pPr>
      <w:r w:rsidRPr="001F5F88">
        <w:rPr>
          <w:i/>
        </w:rPr>
        <w:t>Der Arbeitgeber ist verpflichtet, seine Mitarbeiter bzgl. der korrekten Anwendung von persönlicher Schutzausrüstung zu unterweisen (s. § 12 Arbeitsschutzgesetz).</w:t>
      </w:r>
    </w:p>
    <w:p w14:paraId="37F5CBF3" w14:textId="4FED7B8C" w:rsidR="001F5F88" w:rsidRDefault="001F5F88">
      <w:pPr>
        <w:spacing w:after="0"/>
        <w:rPr>
          <w:b/>
        </w:rPr>
      </w:pPr>
      <w:r>
        <w:rPr>
          <w:b/>
        </w:rPr>
        <w:br w:type="page"/>
      </w:r>
    </w:p>
    <w:p w14:paraId="354E7B68" w14:textId="77777777" w:rsidR="00D07547" w:rsidRPr="000B4658" w:rsidRDefault="00D07547" w:rsidP="00D07547">
      <w:pPr>
        <w:rPr>
          <w:b/>
          <w:sz w:val="22"/>
          <w:szCs w:val="22"/>
        </w:rPr>
      </w:pPr>
      <w:r w:rsidRPr="000B4658">
        <w:rPr>
          <w:b/>
          <w:sz w:val="22"/>
          <w:szCs w:val="22"/>
        </w:rPr>
        <w:lastRenderedPageBreak/>
        <w:t>Persönliche Schutzmaßnahmen:</w:t>
      </w:r>
    </w:p>
    <w:p w14:paraId="61B9BF12" w14:textId="301FC7CC" w:rsidR="00D07547" w:rsidRDefault="00D07547" w:rsidP="00D07547">
      <w:r>
        <w:t xml:space="preserve">Christian hat sich nicht ausreichend vor den Epoxidharz-haltigen Produkten geschützt, so dass Epoxidharze auf die Haut gelangt sind. Zum Feierabend musste er seine Hände daher oft mit einer </w:t>
      </w:r>
      <w:proofErr w:type="spellStart"/>
      <w:r>
        <w:t>rubbeligen</w:t>
      </w:r>
      <w:proofErr w:type="spellEnd"/>
      <w:r>
        <w:t xml:space="preserve"> „Sandseife“ waschen. Zur Verbesserung des persönlichen Schutzes ergeben sich z. B. die folgenden Maßnahmen:</w:t>
      </w:r>
    </w:p>
    <w:p w14:paraId="086954A4" w14:textId="77777777" w:rsidR="001F5F88" w:rsidRPr="001F5F88" w:rsidRDefault="001F5F88" w:rsidP="001F5F88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1F5F88">
        <w:rPr>
          <w:i/>
        </w:rPr>
        <w:t>Direkter Hautkontakt zu Epoxidharzen sollte unter allen Umständen vermieden werden, da sie schnell zu einer Sensibilisierung bzw. Allergie führen können.</w:t>
      </w:r>
    </w:p>
    <w:p w14:paraId="4BE0CEBA" w14:textId="77777777" w:rsidR="001F5F88" w:rsidRPr="001F5F88" w:rsidRDefault="001F5F88" w:rsidP="001F5F88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1F5F88">
        <w:rPr>
          <w:i/>
        </w:rPr>
        <w:t>Erfolgt dennoch ein versehentlicher Kontakt zu Epoxidharzen, sollte die Haut sofort gereinigt werden, damit die Kontaktzeit möglichst kurz ist.</w:t>
      </w:r>
    </w:p>
    <w:p w14:paraId="0A67836D" w14:textId="77777777" w:rsidR="001F5F88" w:rsidRPr="001F5F88" w:rsidRDefault="001F5F88" w:rsidP="001F5F88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1F5F88">
        <w:rPr>
          <w:i/>
        </w:rPr>
        <w:t>Die Hautreinigung sollte möglichst mit einem milden Hautreinigungsmittel durchgeführt werden. „</w:t>
      </w:r>
      <w:proofErr w:type="spellStart"/>
      <w:r w:rsidRPr="001F5F88">
        <w:rPr>
          <w:i/>
        </w:rPr>
        <w:t>Rubbelige</w:t>
      </w:r>
      <w:proofErr w:type="spellEnd"/>
      <w:r w:rsidRPr="001F5F88">
        <w:rPr>
          <w:i/>
        </w:rPr>
        <w:t xml:space="preserve"> Sandseife“ bzw. reibemittelhaltige Produkte oder auch mit Bürsten oder Bimssteinen sollten vermieden werden, da diese die Hautbarriere stark belasten und schädigen. </w:t>
      </w:r>
    </w:p>
    <w:p w14:paraId="40299582" w14:textId="77777777" w:rsidR="001F5F88" w:rsidRPr="001F5F88" w:rsidRDefault="001F5F88" w:rsidP="001F5F88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1F5F88">
        <w:rPr>
          <w:i/>
        </w:rPr>
        <w:t>Eine Waschmöglichkeit sollte am Arbeitsplatz zur Verfügung stehen.</w:t>
      </w:r>
    </w:p>
    <w:p w14:paraId="54904E52" w14:textId="77777777" w:rsidR="001F5F88" w:rsidRPr="00184200" w:rsidRDefault="001F5F88" w:rsidP="00D07547">
      <w:pPr>
        <w:rPr>
          <w:sz w:val="10"/>
          <w:szCs w:val="10"/>
        </w:rPr>
      </w:pPr>
    </w:p>
    <w:p w14:paraId="1BEEB19C" w14:textId="4DFD228B" w:rsidR="00304EEC" w:rsidRDefault="00304EEC" w:rsidP="00D07547">
      <w:r w:rsidRPr="00304EEC">
        <w:t>Bei der Verarbeitung von Epoxidharzen hat Christian Lederhandschuhe / Montagehandschuhe (</w:t>
      </w:r>
      <w:r w:rsidRPr="00C1036E">
        <w:rPr>
          <w:i/>
        </w:rPr>
        <w:t>variiert je nach Lernsituation/Tätigkeitsbeschreibung</w:t>
      </w:r>
      <w:r w:rsidRPr="00304EEC">
        <w:t>) oder Einmalhandschuhe aus Latex getragen. Diese wurden nur selten verworfen (1x/Woche). Zur Verbesserung des persönlichen Schutzes ergeben sich z. B. die folgenden Maßnahmen:</w:t>
      </w:r>
    </w:p>
    <w:p w14:paraId="49D2AFE1" w14:textId="77777777" w:rsidR="00304EEC" w:rsidRPr="00304EEC" w:rsidRDefault="00304EEC" w:rsidP="00304EEC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>Bei der Verarbeitung von Epoxidharzen sollten chemikalienbeständige Schutzhandschuhe (z. B. aus Nitril oder Butyl) getragen werden. Diese sollten regelmäßig und täglich gewechselt werden.</w:t>
      </w:r>
    </w:p>
    <w:p w14:paraId="32B221E2" w14:textId="77777777" w:rsidR="00304EEC" w:rsidRPr="00304EEC" w:rsidRDefault="00304EEC" w:rsidP="00304EEC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 xml:space="preserve">Lederhandschuhe, Montagehandschuhe, beschichtete Baumwollhandschuhe oder andere, textile Handschuhe bieten keinen Schutz vor Chemikalien, sondern schützen nur vor mechanischen Einflüssen. </w:t>
      </w:r>
    </w:p>
    <w:p w14:paraId="76CA9817" w14:textId="77777777" w:rsidR="00304EEC" w:rsidRPr="00304EEC" w:rsidRDefault="00304EEC" w:rsidP="00304EEC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 xml:space="preserve">Einweg-Handschuhe aus Latex oder Vinyl sind ebenfalls nicht für die Verarbeitung von Epoxidharzen geeignet. </w:t>
      </w:r>
    </w:p>
    <w:p w14:paraId="5539A503" w14:textId="77777777" w:rsidR="00304EEC" w:rsidRDefault="00304EEC" w:rsidP="00304EEC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 xml:space="preserve">Falsche Handschuhe können den Kontakt zu Epoxidharzen sogar verstärken (z. B. wenn das Handschuhinnere verschmutzt ist). Das Risiko einer Allergie wird dadurch sogar erhöht. </w:t>
      </w:r>
    </w:p>
    <w:p w14:paraId="22BAB8F9" w14:textId="77777777" w:rsidR="008A56FE" w:rsidRDefault="008A56FE" w:rsidP="00304EEC">
      <w:pPr>
        <w:spacing w:after="0"/>
        <w:rPr>
          <w:i/>
        </w:rPr>
      </w:pPr>
    </w:p>
    <w:p w14:paraId="469A1183" w14:textId="23444EA5" w:rsidR="00304EEC" w:rsidRPr="00304EEC" w:rsidRDefault="00304EEC" w:rsidP="00304EEC">
      <w:pPr>
        <w:spacing w:after="0"/>
        <w:rPr>
          <w:i/>
        </w:rPr>
      </w:pPr>
      <w:r w:rsidRPr="00304EEC">
        <w:rPr>
          <w:i/>
        </w:rPr>
        <w:t>Weitere Informationen zu technischen, organisatorischen und persönlichen Schutzmaßnahmen bei der Verarbeitung von Epoxidharzen stellt die Berufsgenossenschaft der Bauwirtschaft (BG Bau) über das Gefahrstoff-Informationssystem GISBAU (www.bgbau.de/gisbau) sowie im „Praxisleitfaden für den Umgang mit Epoxidharzen“ zur Verfügung</w:t>
      </w:r>
      <w:r w:rsidR="008B2A60">
        <w:rPr>
          <w:rStyle w:val="Funotenzeichen"/>
          <w:i/>
        </w:rPr>
        <w:footnoteReference w:id="1"/>
      </w:r>
      <w:r w:rsidRPr="00304EEC">
        <w:rPr>
          <w:i/>
        </w:rPr>
        <w:t>.</w:t>
      </w:r>
    </w:p>
    <w:p w14:paraId="00C390CD" w14:textId="77777777" w:rsidR="00304EEC" w:rsidRPr="00304EEC" w:rsidRDefault="00304EEC" w:rsidP="00304EEC">
      <w:pPr>
        <w:rPr>
          <w:i/>
          <w:u w:val="single"/>
        </w:rPr>
      </w:pPr>
      <w:r w:rsidRPr="00304EEC">
        <w:rPr>
          <w:i/>
          <w:u w:val="single"/>
        </w:rPr>
        <w:lastRenderedPageBreak/>
        <w:t>Betrifft Lernsituationen, in denen eine Verschmutzung der Arbeitskleidung beschrieben wird:</w:t>
      </w:r>
    </w:p>
    <w:p w14:paraId="6996AB2A" w14:textId="77777777" w:rsidR="00304EEC" w:rsidRPr="00304EEC" w:rsidRDefault="00304EEC" w:rsidP="00304EEC">
      <w:pPr>
        <w:rPr>
          <w:i/>
        </w:rPr>
      </w:pPr>
      <w:r w:rsidRPr="00304EEC">
        <w:rPr>
          <w:i/>
        </w:rPr>
        <w:t xml:space="preserve">Christians Arbeitskleidung war oft stark verschmutzt. Seine Arbeitskleidung hat Christian lediglich alle 2-3 Tage gewechselt. </w:t>
      </w:r>
    </w:p>
    <w:p w14:paraId="543147EB" w14:textId="77777777" w:rsidR="00304EEC" w:rsidRPr="00304EEC" w:rsidRDefault="00304EEC" w:rsidP="008A56FE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 xml:space="preserve">Es sollte langärmelige Kleidung und eine lange Hose getragen werden. </w:t>
      </w:r>
    </w:p>
    <w:p w14:paraId="01A0E9A0" w14:textId="47E715F8" w:rsidR="00304EEC" w:rsidRPr="00304EEC" w:rsidRDefault="00304EEC" w:rsidP="008A56FE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>Unter Umständen ist das Tragen zusätzlicher Schutzkleidung (z. B. Schutzhosen bzw. Einweg-Schutzkl</w:t>
      </w:r>
      <w:r w:rsidR="007A3505">
        <w:rPr>
          <w:i/>
        </w:rPr>
        <w:t>eidung) in Erwägung zu ziehen.</w:t>
      </w:r>
    </w:p>
    <w:p w14:paraId="152F5E25" w14:textId="77777777" w:rsidR="00304EEC" w:rsidRPr="00304EEC" w:rsidRDefault="00304EEC" w:rsidP="008A56FE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>Kleidung, die mit Epoxidharz kontaminiert ist, sollte so schnell wie möglich gewechselt werden, da sonst ein intensiver Hautkontakt besteht.</w:t>
      </w:r>
    </w:p>
    <w:p w14:paraId="553B5BB3" w14:textId="77777777" w:rsidR="00304EEC" w:rsidRPr="00304EEC" w:rsidRDefault="00304EEC" w:rsidP="008A56FE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>Die Arbeitskleidung sollte täglich gewechselt und regelmäßig gereinigt werden.</w:t>
      </w:r>
    </w:p>
    <w:p w14:paraId="6139D873" w14:textId="77777777" w:rsidR="00304EEC" w:rsidRDefault="00304EEC" w:rsidP="008A56FE">
      <w:pPr>
        <w:numPr>
          <w:ilvl w:val="0"/>
          <w:numId w:val="7"/>
        </w:numPr>
        <w:spacing w:after="0"/>
        <w:ind w:left="714" w:hanging="357"/>
        <w:rPr>
          <w:i/>
        </w:rPr>
      </w:pPr>
      <w:r w:rsidRPr="00304EEC">
        <w:rPr>
          <w:i/>
        </w:rPr>
        <w:t>Saubere Arbeitskleidung sollte am Arbeitsplatz zur Verfügung stehen.</w:t>
      </w:r>
    </w:p>
    <w:p w14:paraId="2D027A68" w14:textId="77777777" w:rsidR="008A56FE" w:rsidRDefault="008A56FE" w:rsidP="008A56FE">
      <w:pPr>
        <w:spacing w:after="0"/>
        <w:rPr>
          <w:i/>
        </w:rPr>
      </w:pPr>
    </w:p>
    <w:p w14:paraId="531EBDA6" w14:textId="77777777" w:rsidR="008A56FE" w:rsidRDefault="008A56FE" w:rsidP="008A56FE">
      <w:pPr>
        <w:spacing w:after="0"/>
        <w:rPr>
          <w:i/>
        </w:rPr>
      </w:pPr>
    </w:p>
    <w:p w14:paraId="5D5E6949" w14:textId="77777777" w:rsidR="008A56FE" w:rsidRDefault="008A56FE" w:rsidP="008A56FE">
      <w:pPr>
        <w:spacing w:after="0"/>
        <w:rPr>
          <w:i/>
        </w:rPr>
      </w:pPr>
    </w:p>
    <w:p w14:paraId="09FA0983" w14:textId="77777777" w:rsidR="008A56FE" w:rsidRPr="00304EEC" w:rsidRDefault="008A56FE" w:rsidP="008A56FE">
      <w:pPr>
        <w:spacing w:after="0"/>
        <w:rPr>
          <w:i/>
        </w:rPr>
      </w:pPr>
    </w:p>
    <w:p w14:paraId="226E3167" w14:textId="77777777" w:rsidR="00304EEC" w:rsidRPr="00304EEC" w:rsidRDefault="00304EEC" w:rsidP="00304EEC">
      <w:pPr>
        <w:rPr>
          <w:i/>
        </w:rPr>
      </w:pPr>
      <w:r w:rsidRPr="00304EEC">
        <w:rPr>
          <w:i/>
        </w:rPr>
        <w:t xml:space="preserve">Weitere Informationen zu technischen, organisatorischen und persönlichen Schutzmaßnahmen bei der Verarbeitung von Epoxidharzen stellt die Berufsgenossenschaft der Bauwirtschaft (BG Bau) über das Gefahrstoff-Informationssystem GISBAU (www.bgbau.de/gisbau) sowie im „Praxisleitfaden für den Umgang mit Epoxidharzen“ </w:t>
      </w:r>
      <w:r w:rsidRPr="00304EEC">
        <w:rPr>
          <w:i/>
          <w:vertAlign w:val="superscript"/>
        </w:rPr>
        <w:footnoteReference w:id="2"/>
      </w:r>
      <w:r w:rsidRPr="00304EEC">
        <w:rPr>
          <w:i/>
        </w:rPr>
        <w:t>zur Verfügung.</w:t>
      </w:r>
    </w:p>
    <w:p w14:paraId="609B8E75" w14:textId="77777777" w:rsidR="00304EEC" w:rsidRDefault="00304EEC" w:rsidP="00D07547"/>
    <w:p w14:paraId="73AA29E6" w14:textId="77777777" w:rsidR="00304EEC" w:rsidRDefault="00304EEC" w:rsidP="00D07547"/>
    <w:p w14:paraId="544E4CE5" w14:textId="77777777" w:rsidR="00D07547" w:rsidRDefault="00D07547" w:rsidP="00B75767">
      <w:pPr>
        <w:sectPr w:rsidR="00D07547" w:rsidSect="001842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418" w:right="1985" w:bottom="1871" w:left="2381" w:header="680" w:footer="227" w:gutter="0"/>
          <w:cols w:space="391"/>
          <w:docGrid w:linePitch="360"/>
        </w:sectPr>
      </w:pPr>
    </w:p>
    <w:p w14:paraId="38D44EE4" w14:textId="304C3214" w:rsidR="00B75767" w:rsidRDefault="00B75767" w:rsidP="00304EEC"/>
    <w:sectPr w:rsidR="00B75767" w:rsidSect="00D07547">
      <w:type w:val="continuous"/>
      <w:pgSz w:w="11900" w:h="16840"/>
      <w:pgMar w:top="1418" w:right="1985" w:bottom="1871" w:left="2381" w:header="680" w:footer="227" w:gutter="0"/>
      <w:cols w:num="2" w:space="39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A430D" w14:textId="77777777" w:rsidR="003C13F0" w:rsidRDefault="003C13F0" w:rsidP="00B75767">
      <w:pPr>
        <w:spacing w:after="0"/>
      </w:pPr>
      <w:r>
        <w:separator/>
      </w:r>
    </w:p>
  </w:endnote>
  <w:endnote w:type="continuationSeparator" w:id="0">
    <w:p w14:paraId="1A29A08D" w14:textId="77777777" w:rsidR="003C13F0" w:rsidRDefault="003C13F0" w:rsidP="00B757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EA6EB" w14:textId="77777777" w:rsidR="00D07547" w:rsidRDefault="00D075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BD08" w14:textId="77777777" w:rsidR="00B75767" w:rsidRDefault="00B75767" w:rsidP="00B75767">
    <w:pPr>
      <w:pStyle w:val="Fuzeile"/>
    </w:pPr>
  </w:p>
  <w:p w14:paraId="3C0BAC61" w14:textId="3AE3556A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3652A9DE" wp14:editId="1C4B830A">
          <wp:extent cx="860400" cy="176400"/>
          <wp:effectExtent l="0" t="0" r="3810" b="1905"/>
          <wp:docPr id="21" name="Bild 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E851D6" w:rsidRPr="00E851D6">
      <w:rPr>
        <w:rStyle w:val="Buchtitel"/>
      </w:rPr>
      <w:t xml:space="preserve">Analyse des Fallbeispiels Christian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206A2D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A5F82" w14:textId="77777777" w:rsidR="00B75767" w:rsidRDefault="00B75767" w:rsidP="00B75767">
    <w:pPr>
      <w:pStyle w:val="Fuzeile"/>
    </w:pPr>
  </w:p>
  <w:p w14:paraId="3A8ECF86" w14:textId="17E3464F" w:rsidR="00B75767" w:rsidRDefault="00B75767" w:rsidP="00B75767">
    <w:pPr>
      <w:ind w:right="-688" w:hanging="993"/>
      <w:jc w:val="right"/>
    </w:pPr>
    <w:r w:rsidRPr="00D405CC">
      <w:rPr>
        <w:noProof/>
        <w:position w:val="-8"/>
        <w:lang w:eastAsia="de-DE"/>
      </w:rPr>
      <w:drawing>
        <wp:inline distT="0" distB="0" distL="0" distR="0" wp14:anchorId="0A9D93D4" wp14:editId="5A3CE689">
          <wp:extent cx="860400" cy="176400"/>
          <wp:effectExtent l="0" t="0" r="3810" b="1905"/>
          <wp:docPr id="23" name="Bild 26" descr="Images/EpoxSafe@School-5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s/EpoxSafe@School-500px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556" r="-3556"/>
                  <a:stretch/>
                </pic:blipFill>
                <pic:spPr bwMode="auto">
                  <a:xfrm>
                    <a:off x="0" y="0"/>
                    <a:ext cx="860400" cy="17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D405CC">
      <w:rPr>
        <w:position w:val="-8"/>
      </w:rPr>
      <w:t xml:space="preserve"> </w:t>
    </w:r>
    <w:r>
      <w:rPr>
        <w:rStyle w:val="Buchtitel"/>
      </w:rPr>
      <w:t>| </w:t>
    </w:r>
    <w:r w:rsidR="00D07547">
      <w:rPr>
        <w:rStyle w:val="Buchtitel"/>
      </w:rPr>
      <w:t xml:space="preserve">Analyse des Fallbeispiels </w:t>
    </w:r>
    <w:r w:rsidR="00776DAD">
      <w:rPr>
        <w:rStyle w:val="Buchtitel"/>
      </w:rPr>
      <w:t>Christian</w:t>
    </w:r>
    <w:r w:rsidRPr="00104B19">
      <w:rPr>
        <w:rStyle w:val="Buchtitel"/>
      </w:rPr>
      <w:t xml:space="preserve"> </w:t>
    </w:r>
    <w:r>
      <w:t xml:space="preserve">| Stand 04.06.2018 | Seite </w:t>
    </w:r>
    <w:r>
      <w:fldChar w:fldCharType="begin"/>
    </w:r>
    <w:r>
      <w:instrText xml:space="preserve"> PAGE  \* MERGEFORMAT </w:instrText>
    </w:r>
    <w:r>
      <w:fldChar w:fldCharType="separate"/>
    </w:r>
    <w:r w:rsidR="0018420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4A9F5" w14:textId="77777777" w:rsidR="003C13F0" w:rsidRDefault="003C13F0" w:rsidP="00B75767">
      <w:pPr>
        <w:spacing w:after="0"/>
      </w:pPr>
      <w:r>
        <w:separator/>
      </w:r>
    </w:p>
  </w:footnote>
  <w:footnote w:type="continuationSeparator" w:id="0">
    <w:p w14:paraId="642C47D8" w14:textId="77777777" w:rsidR="003C13F0" w:rsidRDefault="003C13F0" w:rsidP="00B75767">
      <w:pPr>
        <w:spacing w:after="0"/>
      </w:pPr>
      <w:r>
        <w:continuationSeparator/>
      </w:r>
    </w:p>
  </w:footnote>
  <w:footnote w:id="1">
    <w:p w14:paraId="0E89CE5C" w14:textId="06362022" w:rsidR="008B2A60" w:rsidRDefault="008B2A6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04EEC">
        <w:rPr>
          <w:sz w:val="14"/>
        </w:rPr>
        <w:t>https://www.bgbau.de/gisbau/publikationen/brosch/downloads/676_PraxisleitfadenEpoxidharze_420 15_Ansicht.pdf</w:t>
      </w:r>
    </w:p>
  </w:footnote>
  <w:footnote w:id="2">
    <w:p w14:paraId="786A113C" w14:textId="16396BBD" w:rsidR="00304EEC" w:rsidRPr="00304EEC" w:rsidRDefault="00304EEC" w:rsidP="00304EEC">
      <w:pPr>
        <w:pStyle w:val="Funotentext"/>
        <w:rPr>
          <w:sz w:val="18"/>
        </w:rPr>
      </w:pPr>
      <w:r w:rsidRPr="00304EEC">
        <w:rPr>
          <w:rStyle w:val="Funotenzeichen"/>
          <w:sz w:val="18"/>
        </w:rPr>
        <w:footnoteRef/>
      </w:r>
      <w:r w:rsidRPr="00304EEC">
        <w:rPr>
          <w:sz w:val="18"/>
        </w:rPr>
        <w:t xml:space="preserve"> </w:t>
      </w:r>
      <w:r w:rsidRPr="00304EEC">
        <w:rPr>
          <w:sz w:val="14"/>
        </w:rPr>
        <w:t>https://www.bgbau.de/gisbau/publikationen/brosch/downloads/676_PraxisleitfadenEpoxidharze_420 15_Ansicht.pdf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947E5" w14:textId="77777777" w:rsidR="00D07547" w:rsidRDefault="00D075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6341B" w14:textId="1E8FBDDA" w:rsidR="00B833AD" w:rsidRDefault="00184200" w:rsidP="00B833AD">
    <w:pPr>
      <w:keepNext/>
      <w:keepLines/>
      <w:spacing w:before="120" w:after="1920" w:line="216" w:lineRule="auto"/>
      <w:ind w:left="-1276"/>
      <w:contextualSpacing/>
      <w:outlineLvl w:val="0"/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</w:pPr>
    <w:r w:rsidRPr="00184200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BB2F080" wp14:editId="44F4BEC1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FB37E0D" w14:textId="2F90AD94" w:rsidR="00184200" w:rsidRDefault="00184200" w:rsidP="00184200">
                          <w:pPr>
                            <w:pStyle w:val="KeinLeerraum"/>
                            <w:jc w:val="right"/>
                          </w:pPr>
                          <w:r>
                            <w:t xml:space="preserve">B </w:t>
                          </w:r>
                          <w:r>
                            <w:t>3</w:t>
                          </w:r>
                          <w:r>
                            <w:t>.</w:t>
                          </w:r>
                          <w:r>
                            <w:t>3</w:t>
                          </w:r>
                          <w:r>
                            <w:t>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B2F080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left:0;text-align:left;margin-left:338.4pt;margin-top:-6.55pt;width:89.85pt;height:4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" filled="f" stroked="f">
              <v:textbox>
                <w:txbxContent>
                  <w:p w14:paraId="5FB37E0D" w14:textId="2F90AD94" w:rsidR="00184200" w:rsidRDefault="00184200" w:rsidP="00184200">
                    <w:pPr>
                      <w:pStyle w:val="KeinLeerraum"/>
                      <w:jc w:val="right"/>
                    </w:pPr>
                    <w:r>
                      <w:t xml:space="preserve">B </w:t>
                    </w:r>
                    <w:r>
                      <w:t>3</w:t>
                    </w:r>
                    <w:r>
                      <w:t>.</w:t>
                    </w:r>
                    <w:r>
                      <w:t>3</w:t>
                    </w:r>
                    <w:r>
                      <w:t>L</w:t>
                    </w:r>
                  </w:p>
                </w:txbxContent>
              </v:textbox>
            </v:shape>
          </w:pict>
        </mc:Fallback>
      </mc:AlternateContent>
    </w:r>
    <w:r w:rsidRPr="00184200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w:drawing>
        <wp:anchor distT="0" distB="0" distL="114300" distR="114300" simplePos="0" relativeHeight="251673600" behindDoc="1" locked="0" layoutInCell="1" allowOverlap="1" wp14:anchorId="5402579A" wp14:editId="66885A18">
          <wp:simplePos x="0" y="0"/>
          <wp:positionH relativeFrom="column">
            <wp:posOffset>-1762548</wp:posOffset>
          </wp:positionH>
          <wp:positionV relativeFrom="page">
            <wp:posOffset>-64982</wp:posOffset>
          </wp:positionV>
          <wp:extent cx="7566025" cy="10123805"/>
          <wp:effectExtent l="0" t="0" r="0" b="0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33AD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 xml:space="preserve"> </w:t>
    </w:r>
  </w:p>
  <w:p w14:paraId="144357DA" w14:textId="7E3D67DD" w:rsidR="00B833AD" w:rsidRPr="00184200" w:rsidRDefault="00206A2D" w:rsidP="00B833AD">
    <w:pPr>
      <w:keepNext/>
      <w:keepLines/>
      <w:spacing w:before="120" w:after="1920" w:line="216" w:lineRule="auto"/>
      <w:ind w:left="-1276"/>
      <w:contextualSpacing/>
      <w:outlineLvl w:val="0"/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</w:pPr>
    <w:r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>Arbeitsauftrag</w:t>
    </w:r>
    <w:r w:rsidR="00B833AD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  <w:t xml:space="preserve">- Musterlösung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F7F74" w14:textId="77777777" w:rsidR="00184200" w:rsidRPr="00184200" w:rsidRDefault="00184200" w:rsidP="00184200">
    <w:pPr>
      <w:keepNext/>
      <w:keepLines/>
      <w:spacing w:before="120" w:after="1920" w:line="216" w:lineRule="auto"/>
      <w:ind w:left="-1276"/>
      <w:contextualSpacing/>
      <w:outlineLvl w:val="0"/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</w:pPr>
    <w:r w:rsidRPr="00184200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6F975C1" wp14:editId="5B276D8A">
              <wp:simplePos x="0" y="0"/>
              <wp:positionH relativeFrom="column">
                <wp:posOffset>4297892</wp:posOffset>
              </wp:positionH>
              <wp:positionV relativeFrom="paragraph">
                <wp:posOffset>-83185</wp:posOffset>
              </wp:positionV>
              <wp:extent cx="1141095" cy="56642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1095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387B9CC" w14:textId="77777777" w:rsidR="00184200" w:rsidRDefault="00184200" w:rsidP="00184200">
                          <w:pPr>
                            <w:pStyle w:val="KeinLeerraum"/>
                            <w:jc w:val="right"/>
                          </w:pPr>
                          <w:r>
                            <w:t>B 2.5L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F975C1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style="position:absolute;left:0;text-align:left;margin-left:338.4pt;margin-top:-6.55pt;width:89.85pt;height:4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" filled="f" stroked="f">
              <v:textbox>
                <w:txbxContent>
                  <w:p w14:paraId="1387B9CC" w14:textId="77777777" w:rsidR="00184200" w:rsidRDefault="00184200" w:rsidP="00184200">
                    <w:pPr>
                      <w:pStyle w:val="KeinLeerraum"/>
                      <w:jc w:val="right"/>
                    </w:pPr>
                    <w:r>
                      <w:t>B 2.5L</w:t>
                    </w:r>
                  </w:p>
                </w:txbxContent>
              </v:textbox>
            </v:shape>
          </w:pict>
        </mc:Fallback>
      </mc:AlternateContent>
    </w:r>
    <w:r w:rsidRPr="00184200">
      <w:rPr>
        <w:rFonts w:ascii="Arial Narrow" w:eastAsiaTheme="majorEastAsia" w:hAnsi="Arial Narrow" w:cstheme="majorBidi"/>
        <w:noProof/>
        <w:color w:val="75A9A4"/>
        <w:sz w:val="74"/>
        <w:szCs w:val="74"/>
        <w:lang w:eastAsia="de-DE"/>
        <w14:ligatures w14:val="standard"/>
      </w:rPr>
      <w:drawing>
        <wp:anchor distT="0" distB="0" distL="114300" distR="114300" simplePos="0" relativeHeight="251670528" behindDoc="1" locked="0" layoutInCell="1" allowOverlap="1" wp14:anchorId="12A22DDD" wp14:editId="72C62BE2">
          <wp:simplePos x="0" y="0"/>
          <wp:positionH relativeFrom="column">
            <wp:posOffset>-1762548</wp:posOffset>
          </wp:positionH>
          <wp:positionV relativeFrom="page">
            <wp:posOffset>-64982</wp:posOffset>
          </wp:positionV>
          <wp:extent cx="7566025" cy="1012380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nKramer/Nextcloud LMS/Projekte/working/Uni Osnabrück 2018-04 EpoxSafe/02 Working/Wordvorlage/Images/Experim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12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4200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t>Experiment</w:t>
    </w:r>
    <w:r w:rsidRPr="00184200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  <w:t xml:space="preserve">pH-Wert von </w:t>
    </w:r>
    <w:r w:rsidRPr="00184200">
      <w:rPr>
        <w:rFonts w:ascii="Arial Narrow" w:eastAsiaTheme="majorEastAsia" w:hAnsi="Arial Narrow" w:cstheme="majorBidi"/>
        <w:color w:val="75A9A4"/>
        <w:sz w:val="74"/>
        <w:szCs w:val="74"/>
        <w14:ligatures w14:val="standard"/>
      </w:rPr>
      <w:br/>
      <w:t>Hautreinigungsmitteln</w:t>
    </w:r>
  </w:p>
  <w:p w14:paraId="104A69E1" w14:textId="1C003BC8" w:rsidR="001F5F88" w:rsidRPr="00184200" w:rsidRDefault="001F5F88" w:rsidP="00184200">
    <w:pPr>
      <w:pStyle w:val="Kopfzeile"/>
    </w:pPr>
    <w:r w:rsidRPr="0018420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C182D"/>
    <w:multiLevelType w:val="hybridMultilevel"/>
    <w:tmpl w:val="6194C5A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12B0E"/>
    <w:multiLevelType w:val="hybridMultilevel"/>
    <w:tmpl w:val="8B1ADDB6"/>
    <w:lvl w:ilvl="0" w:tplc="480ED064">
      <w:start w:val="1"/>
      <w:numFmt w:val="bullet"/>
      <w:pStyle w:val="Listenabsatz"/>
      <w:lvlText w:val=""/>
      <w:lvlJc w:val="left"/>
      <w:pPr>
        <w:ind w:left="-43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4DB42BC6"/>
    <w:multiLevelType w:val="hybridMultilevel"/>
    <w:tmpl w:val="021AEBE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A644D"/>
    <w:multiLevelType w:val="hybridMultilevel"/>
    <w:tmpl w:val="56F2F20E"/>
    <w:lvl w:ilvl="0" w:tplc="5DAAB37E">
      <w:start w:val="1"/>
      <w:numFmt w:val="decimal"/>
      <w:pStyle w:val="NummerierteListe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27407"/>
    <w:multiLevelType w:val="hybridMultilevel"/>
    <w:tmpl w:val="189A1F7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22E3A"/>
    <w:multiLevelType w:val="hybridMultilevel"/>
    <w:tmpl w:val="490CC71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67"/>
    <w:rsid w:val="00013D35"/>
    <w:rsid w:val="00026B25"/>
    <w:rsid w:val="000B4658"/>
    <w:rsid w:val="00184200"/>
    <w:rsid w:val="001F5F88"/>
    <w:rsid w:val="00206A2D"/>
    <w:rsid w:val="00287A98"/>
    <w:rsid w:val="00304EEC"/>
    <w:rsid w:val="003C13F0"/>
    <w:rsid w:val="00580B0E"/>
    <w:rsid w:val="005A0B58"/>
    <w:rsid w:val="006158B2"/>
    <w:rsid w:val="007601B4"/>
    <w:rsid w:val="00776DAD"/>
    <w:rsid w:val="007A3505"/>
    <w:rsid w:val="008A56FE"/>
    <w:rsid w:val="008B2A60"/>
    <w:rsid w:val="008E122A"/>
    <w:rsid w:val="009725C0"/>
    <w:rsid w:val="00A301F2"/>
    <w:rsid w:val="00AA1C1C"/>
    <w:rsid w:val="00B75767"/>
    <w:rsid w:val="00B833AD"/>
    <w:rsid w:val="00C1036E"/>
    <w:rsid w:val="00C47141"/>
    <w:rsid w:val="00C9085C"/>
    <w:rsid w:val="00CD0300"/>
    <w:rsid w:val="00CD2E3F"/>
    <w:rsid w:val="00D07547"/>
    <w:rsid w:val="00E310D0"/>
    <w:rsid w:val="00E851D6"/>
    <w:rsid w:val="00ED2B8B"/>
    <w:rsid w:val="00F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77C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767"/>
    <w:pPr>
      <w:spacing w:after="200"/>
    </w:pPr>
    <w:rPr>
      <w:rFonts w:ascii="Cambria" w:hAnsi="Cambri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3D35"/>
    <w:pPr>
      <w:keepNext/>
      <w:keepLines/>
      <w:spacing w:before="120" w:after="1280" w:line="216" w:lineRule="auto"/>
      <w:ind w:left="-113"/>
      <w:contextualSpacing/>
      <w:outlineLvl w:val="0"/>
    </w:pPr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5767"/>
  </w:style>
  <w:style w:type="paragraph" w:styleId="Fuzeile">
    <w:name w:val="footer"/>
    <w:basedOn w:val="Standard"/>
    <w:link w:val="FuzeileZchn"/>
    <w:uiPriority w:val="99"/>
    <w:unhideWhenUsed/>
    <w:rsid w:val="00B757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5767"/>
  </w:style>
  <w:style w:type="paragraph" w:styleId="Listenabsatz">
    <w:name w:val="List Paragraph"/>
    <w:basedOn w:val="Standard"/>
    <w:uiPriority w:val="34"/>
    <w:rsid w:val="00B75767"/>
    <w:pPr>
      <w:numPr>
        <w:numId w:val="1"/>
      </w:numPr>
      <w:ind w:left="284"/>
      <w:contextualSpacing/>
    </w:pPr>
  </w:style>
  <w:style w:type="paragraph" w:customStyle="1" w:styleId="berschriftFlietext">
    <w:name w:val="Überschrift Fließtext"/>
    <w:basedOn w:val="Standard"/>
    <w:qFormat/>
    <w:rsid w:val="005A0B58"/>
    <w:pPr>
      <w:spacing w:after="20"/>
    </w:pPr>
    <w:rPr>
      <w:b/>
    </w:rPr>
  </w:style>
  <w:style w:type="paragraph" w:customStyle="1" w:styleId="NummerierteListe">
    <w:name w:val="Nummerierte Liste"/>
    <w:basedOn w:val="Listenabsatz"/>
    <w:qFormat/>
    <w:rsid w:val="00B75767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13D35"/>
    <w:rPr>
      <w:rFonts w:ascii="Arial Narrow" w:eastAsiaTheme="majorEastAsia" w:hAnsi="Arial Narrow" w:cstheme="majorBidi"/>
      <w:color w:val="6599CD"/>
      <w:sz w:val="74"/>
      <w:szCs w:val="74"/>
      <w14:ligatures w14:val="standard"/>
    </w:rPr>
  </w:style>
  <w:style w:type="character" w:styleId="Buchtitel">
    <w:name w:val="Book Title"/>
    <w:aliases w:val="Fußnote"/>
    <w:basedOn w:val="Absatz-Standardschriftart"/>
    <w:uiPriority w:val="33"/>
    <w:rsid w:val="00B75767"/>
    <w:rPr>
      <w:bCs/>
      <w:iCs/>
      <w:spacing w:val="5"/>
    </w:rPr>
  </w:style>
  <w:style w:type="paragraph" w:customStyle="1" w:styleId="Literatur">
    <w:name w:val="Literatur"/>
    <w:basedOn w:val="Standard"/>
    <w:qFormat/>
    <w:rsid w:val="00013D35"/>
    <w:pPr>
      <w:widowControl w:val="0"/>
      <w:autoSpaceDE w:val="0"/>
      <w:autoSpaceDN w:val="0"/>
      <w:adjustRightInd w:val="0"/>
      <w:spacing w:after="240" w:line="240" w:lineRule="atLeast"/>
    </w:pPr>
    <w:rPr>
      <w:rFonts w:ascii="Arial Narrow" w:hAnsi="Arial Narrow" w:cs="Arial Narrow"/>
      <w:bCs/>
      <w:color w:val="000000" w:themeColor="text1"/>
      <w:szCs w:val="21"/>
    </w:rPr>
  </w:style>
  <w:style w:type="paragraph" w:styleId="KeinLeerraum">
    <w:name w:val="No Spacing"/>
    <w:aliases w:val="Bezeichnung Kopfzeile"/>
    <w:uiPriority w:val="1"/>
    <w:qFormat/>
    <w:rsid w:val="00580B0E"/>
    <w:rPr>
      <w:rFonts w:ascii="Arial Narrow" w:hAnsi="Arial Narrow"/>
      <w:color w:val="CDDBDA"/>
      <w:sz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04EEC"/>
    <w:pPr>
      <w:spacing w:after="0"/>
    </w:pPr>
    <w:rPr>
      <w:rFonts w:asciiTheme="minorHAnsi" w:hAnsiTheme="minorHAnsi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04EE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04EE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04E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78C62-FB3F-459B-B528-38530DEB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Marc Rocholl</cp:lastModifiedBy>
  <cp:revision>3</cp:revision>
  <cp:lastPrinted>2018-09-12T04:10:00Z</cp:lastPrinted>
  <dcterms:created xsi:type="dcterms:W3CDTF">2018-10-01T08:18:00Z</dcterms:created>
  <dcterms:modified xsi:type="dcterms:W3CDTF">2018-10-01T08:22:00Z</dcterms:modified>
</cp:coreProperties>
</file>