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E68ADB1" w14:textId="22AB93BA" w:rsidR="00386BC6" w:rsidRDefault="00386BC6" w:rsidP="00AC223B">
      <w:pPr>
        <w:spacing w:after="0"/>
      </w:pPr>
      <w:r w:rsidRPr="00386BC6">
        <w:t xml:space="preserve">Das </w:t>
      </w:r>
      <w:r w:rsidRPr="00386BC6">
        <w:rPr>
          <w:b/>
        </w:rPr>
        <w:t xml:space="preserve">Arbeitsschutzgesetz (ArbSchG) </w:t>
      </w:r>
      <w:r w:rsidRPr="00386BC6">
        <w:t xml:space="preserve">regelt die Arbeitssicherheit und den Gesundheitsschutz in Deutschland. Es soll Beschäftigte vor Gefahren am Arbeitsplatz schützen (z. B. Lärm, Gefahrstoffe oder psychische Belastungen), Arbeitsunfälle verhindern und die Gesundheit erhalten. Verantwortlich für die Umsetzung ist vor allem der Arbeitgeber. Dieser muss in einer </w:t>
      </w:r>
      <w:r w:rsidRPr="00386BC6">
        <w:rPr>
          <w:i/>
        </w:rPr>
        <w:t>Gefährdungsbeurteilung</w:t>
      </w:r>
      <w:r w:rsidRPr="00386BC6">
        <w:t xml:space="preserve"> mögliche Gefahren ermitteln und geeignete Maßnahmen des Arbeitsschutzes ergreifen. Die Beschäftigten sind verpflichtet, diese Maßnahmen umzusetzen. </w:t>
      </w:r>
    </w:p>
    <w:p w14:paraId="08FD8D9F" w14:textId="77777777" w:rsidR="00AC223B" w:rsidRDefault="00AC223B" w:rsidP="00883359"/>
    <w:p w14:paraId="17E784B3" w14:textId="77777777" w:rsidR="00AF7C4D" w:rsidRPr="00AF7C4D" w:rsidRDefault="00AF7C4D" w:rsidP="00883359">
      <w:pPr>
        <w:rPr>
          <w:b/>
          <w:color w:val="75A9A4"/>
          <w:sz w:val="26"/>
          <w:szCs w:val="26"/>
        </w:rPr>
      </w:pPr>
      <w:r w:rsidRPr="00AF7C4D">
        <w:rPr>
          <w:b/>
          <w:color w:val="75A9A4"/>
          <w:sz w:val="26"/>
          <w:szCs w:val="26"/>
        </w:rPr>
        <w:t>Gefährdungsbeurteilung</w:t>
      </w:r>
    </w:p>
    <w:p w14:paraId="27DA84B2" w14:textId="2633E8CE" w:rsidR="00AF7C4D" w:rsidRPr="00AF7C4D" w:rsidRDefault="00AF7C4D" w:rsidP="00883359">
      <w:pPr>
        <w:rPr>
          <w:color w:val="75A9A4"/>
          <w:szCs w:val="20"/>
        </w:rPr>
      </w:pPr>
      <w:r w:rsidRPr="00AF7C4D">
        <w:rPr>
          <w:color w:val="75A9A4"/>
          <w:szCs w:val="20"/>
        </w:rPr>
        <w:t>Gemäß § 5 des Arbeitsschutzgesetzes</w:t>
      </w:r>
      <w:r>
        <w:rPr>
          <w:rStyle w:val="Funotenzeichen"/>
          <w:color w:val="75A9A4"/>
          <w:szCs w:val="20"/>
        </w:rPr>
        <w:footnoteReference w:id="1"/>
      </w:r>
      <w:r w:rsidRPr="00AF7C4D">
        <w:rPr>
          <w:color w:val="75A9A4"/>
          <w:szCs w:val="20"/>
        </w:rPr>
        <w:t xml:space="preserve"> ist der Arbeitgeber verpflichtet, im Rahmen einer Gefährdungsbeurteilung gesundheitsschädigende Einflüsse am Arbeitsplatz zu ermitteln und Maßnahmen zu ergreifen, Beschäftigte vor diesen zu schützen. </w:t>
      </w:r>
    </w:p>
    <w:p w14:paraId="052166F3" w14:textId="77777777" w:rsidR="00AF7C4D" w:rsidRPr="00AF7C4D" w:rsidRDefault="00AF7C4D" w:rsidP="00883359">
      <w:pPr>
        <w:spacing w:after="0"/>
        <w:rPr>
          <w:color w:val="75A9A4"/>
          <w:szCs w:val="20"/>
        </w:rPr>
      </w:pPr>
      <w:r w:rsidRPr="00AF7C4D">
        <w:rPr>
          <w:color w:val="75A9A4"/>
          <w:szCs w:val="20"/>
        </w:rPr>
        <w:t>Die Bundesanstalt für Arbeitsschutz und Arbeitsmedizin (</w:t>
      </w:r>
      <w:proofErr w:type="spellStart"/>
      <w:r w:rsidRPr="00AF7C4D">
        <w:rPr>
          <w:color w:val="75A9A4"/>
          <w:szCs w:val="20"/>
        </w:rPr>
        <w:t>BAuA</w:t>
      </w:r>
      <w:proofErr w:type="spellEnd"/>
      <w:r w:rsidRPr="00AF7C4D">
        <w:rPr>
          <w:color w:val="75A9A4"/>
          <w:szCs w:val="20"/>
        </w:rPr>
        <w:t xml:space="preserve">) stellt weiterführende Informationen und Handlungshilfen für die Gefährdungsbeurteilung auf ihrer Website zur Verfügung: </w:t>
      </w:r>
      <w:hyperlink r:id="rId8" w:history="1">
        <w:r w:rsidRPr="00AF7C4D">
          <w:rPr>
            <w:color w:val="75A9A4"/>
            <w:szCs w:val="20"/>
            <w:u w:val="single"/>
          </w:rPr>
          <w:t>http://www.gefaehrdungsbeurteilung.de/de/handlungshilfen/datenbank</w:t>
        </w:r>
      </w:hyperlink>
      <w:r w:rsidRPr="00AF7C4D">
        <w:rPr>
          <w:color w:val="75A9A4"/>
          <w:szCs w:val="20"/>
        </w:rPr>
        <w:t xml:space="preserve"> </w:t>
      </w:r>
    </w:p>
    <w:p w14:paraId="1E6AC55E" w14:textId="77777777" w:rsidR="00AF7C4D" w:rsidRDefault="00AF7C4D" w:rsidP="00883359"/>
    <w:p w14:paraId="27C30761" w14:textId="0AC8E250" w:rsidR="00386BC6" w:rsidRDefault="00386BC6" w:rsidP="00883359">
      <w:pPr>
        <w:pStyle w:val="berschrift2"/>
        <w:spacing w:before="0" w:after="200"/>
        <w:rPr>
          <w:rFonts w:ascii="Cambria" w:hAnsi="Cambria"/>
        </w:rPr>
      </w:pPr>
      <w:r w:rsidRPr="00A45302">
        <w:rPr>
          <w:rFonts w:ascii="Cambria" w:hAnsi="Cambria"/>
        </w:rPr>
        <w:t>Das</w:t>
      </w:r>
      <w:r>
        <w:rPr>
          <w:rFonts w:ascii="Cambria" w:hAnsi="Cambria"/>
        </w:rPr>
        <w:t xml:space="preserve"> STOP-Prinzip</w:t>
      </w:r>
    </w:p>
    <w:p w14:paraId="2469D5E0" w14:textId="77777777" w:rsidR="00386BC6" w:rsidRDefault="00386BC6" w:rsidP="00883359">
      <w:pPr>
        <w:rPr>
          <w:szCs w:val="20"/>
        </w:rPr>
      </w:pPr>
      <w:r w:rsidRPr="00386BC6">
        <w:rPr>
          <w:szCs w:val="20"/>
        </w:rPr>
        <w:t xml:space="preserve">Das </w:t>
      </w:r>
      <w:r w:rsidRPr="00386BC6">
        <w:rPr>
          <w:b/>
          <w:szCs w:val="20"/>
        </w:rPr>
        <w:t>STOP-Prinzip</w:t>
      </w:r>
      <w:r w:rsidRPr="00386BC6">
        <w:rPr>
          <w:szCs w:val="20"/>
        </w:rPr>
        <w:t xml:space="preserve"> legt fest, in welcher Reihenfolge Schutzmaßnahmen zu ergreifen sind.</w:t>
      </w:r>
    </w:p>
    <w:p w14:paraId="2D09ACF7" w14:textId="77777777" w:rsidR="00C07C4B" w:rsidRDefault="00C07C4B" w:rsidP="00883359">
      <w:pPr>
        <w:tabs>
          <w:tab w:val="left" w:pos="851"/>
          <w:tab w:val="left" w:pos="1418"/>
          <w:tab w:val="left" w:pos="6804"/>
        </w:tabs>
        <w:rPr>
          <w:b/>
          <w:szCs w:val="20"/>
        </w:rPr>
      </w:pPr>
    </w:p>
    <w:p w14:paraId="673D58AB" w14:textId="77777777" w:rsidR="00C07C4B" w:rsidRDefault="00C07C4B" w:rsidP="00883359">
      <w:pPr>
        <w:tabs>
          <w:tab w:val="left" w:pos="851"/>
          <w:tab w:val="left" w:pos="1418"/>
          <w:tab w:val="left" w:pos="6804"/>
        </w:tabs>
        <w:rPr>
          <w:b/>
          <w:szCs w:val="20"/>
        </w:rPr>
      </w:pPr>
    </w:p>
    <w:p w14:paraId="377F8943" w14:textId="77777777" w:rsidR="00C07C4B" w:rsidRDefault="00C07C4B" w:rsidP="00883359">
      <w:pPr>
        <w:tabs>
          <w:tab w:val="left" w:pos="851"/>
          <w:tab w:val="left" w:pos="1418"/>
          <w:tab w:val="left" w:pos="6804"/>
        </w:tabs>
        <w:rPr>
          <w:b/>
          <w:szCs w:val="20"/>
        </w:rPr>
      </w:pPr>
    </w:p>
    <w:p w14:paraId="0B3EAD59" w14:textId="77777777" w:rsidR="00386BC6" w:rsidRPr="00386BC6" w:rsidRDefault="00386BC6" w:rsidP="00883359">
      <w:pPr>
        <w:tabs>
          <w:tab w:val="left" w:pos="851"/>
          <w:tab w:val="left" w:pos="1418"/>
          <w:tab w:val="left" w:pos="6804"/>
        </w:tabs>
        <w:rPr>
          <w:szCs w:val="20"/>
        </w:rPr>
      </w:pPr>
      <w:r w:rsidRPr="00386BC6">
        <w:rPr>
          <w:b/>
          <w:szCs w:val="20"/>
        </w:rPr>
        <w:t xml:space="preserve">S </w:t>
      </w:r>
      <w:r w:rsidRPr="00386BC6">
        <w:rPr>
          <w:b/>
          <w:szCs w:val="20"/>
        </w:rPr>
        <w:sym w:font="Wingdings" w:char="F0E0"/>
      </w:r>
      <w:r w:rsidRPr="00386BC6">
        <w:rPr>
          <w:b/>
          <w:szCs w:val="20"/>
        </w:rPr>
        <w:t xml:space="preserve"> S</w:t>
      </w:r>
      <w:r w:rsidRPr="00386BC6">
        <w:rPr>
          <w:szCs w:val="20"/>
        </w:rPr>
        <w:t>ubstitution (</w:t>
      </w:r>
      <w:r w:rsidRPr="00386BC6">
        <w:rPr>
          <w:i/>
          <w:szCs w:val="20"/>
        </w:rPr>
        <w:t xml:space="preserve">substituieren </w:t>
      </w:r>
      <w:r w:rsidRPr="00386BC6">
        <w:rPr>
          <w:szCs w:val="20"/>
        </w:rPr>
        <w:t>= ersetzen)</w:t>
      </w:r>
    </w:p>
    <w:p w14:paraId="7E8CE0EE" w14:textId="02BDE7A4" w:rsidR="00386BC6" w:rsidRPr="00386BC6" w:rsidRDefault="00386BC6" w:rsidP="00883359">
      <w:pPr>
        <w:tabs>
          <w:tab w:val="left" w:pos="1418"/>
          <w:tab w:val="left" w:pos="6804"/>
        </w:tabs>
        <w:rPr>
          <w:szCs w:val="20"/>
        </w:rPr>
      </w:pPr>
      <w:r w:rsidRPr="00386BC6">
        <w:rPr>
          <w:szCs w:val="20"/>
        </w:rPr>
        <w:t xml:space="preserve">Der sicherste Weg ist es, eine Gefahrenquelle zu beseitigen oder einen Gefahrstoff durch einen ungefährlichen oder weniger gefährlichen Stoff auszutauschen. Vielleicht kann man zum Beispiel einen aggressiven Reiniger durch ein weniger aggressives Produkt ersetzen. </w:t>
      </w:r>
    </w:p>
    <w:p w14:paraId="7D9E141A" w14:textId="77777777" w:rsidR="00386BC6" w:rsidRPr="00386BC6" w:rsidRDefault="00386BC6" w:rsidP="00883359">
      <w:pPr>
        <w:tabs>
          <w:tab w:val="left" w:pos="851"/>
          <w:tab w:val="left" w:pos="1418"/>
          <w:tab w:val="left" w:pos="6804"/>
        </w:tabs>
        <w:rPr>
          <w:szCs w:val="20"/>
        </w:rPr>
      </w:pPr>
      <w:r w:rsidRPr="00386BC6">
        <w:rPr>
          <w:szCs w:val="20"/>
        </w:rPr>
        <w:t xml:space="preserve">Bei Epoxidharzen können zum Beispiel folgende Maßnahmen geprüft werden: </w:t>
      </w:r>
    </w:p>
    <w:p w14:paraId="5BFFB329" w14:textId="77777777" w:rsidR="00DA692B" w:rsidRDefault="00386BC6" w:rsidP="00883359">
      <w:pPr>
        <w:pStyle w:val="Listenabsatz"/>
        <w:numPr>
          <w:ilvl w:val="0"/>
          <w:numId w:val="1"/>
        </w:numPr>
        <w:tabs>
          <w:tab w:val="left" w:pos="851"/>
          <w:tab w:val="left" w:pos="1418"/>
          <w:tab w:val="left" w:pos="6804"/>
        </w:tabs>
        <w:spacing w:after="200" w:line="240" w:lineRule="auto"/>
        <w:ind w:left="567" w:hanging="425"/>
        <w:rPr>
          <w:rFonts w:ascii="Cambria" w:hAnsi="Cambria"/>
          <w:sz w:val="20"/>
          <w:szCs w:val="20"/>
        </w:rPr>
      </w:pPr>
      <w:r w:rsidRPr="00386BC6">
        <w:rPr>
          <w:rFonts w:ascii="Cambria" w:hAnsi="Cambria"/>
          <w:sz w:val="20"/>
          <w:szCs w:val="20"/>
        </w:rPr>
        <w:t>Sind weniger gefährliche Stoffe verfügbar, die keine Epoxidharze enthalten?</w:t>
      </w:r>
    </w:p>
    <w:p w14:paraId="324B6C85" w14:textId="7B891038" w:rsidR="00386BC6" w:rsidRPr="00DA692B" w:rsidRDefault="00386BC6" w:rsidP="00883359">
      <w:pPr>
        <w:pStyle w:val="Listenabsatz"/>
        <w:numPr>
          <w:ilvl w:val="0"/>
          <w:numId w:val="1"/>
        </w:numPr>
        <w:tabs>
          <w:tab w:val="left" w:pos="851"/>
          <w:tab w:val="left" w:pos="1418"/>
          <w:tab w:val="left" w:pos="6804"/>
        </w:tabs>
        <w:spacing w:after="200" w:line="240" w:lineRule="auto"/>
        <w:ind w:left="567" w:hanging="425"/>
        <w:rPr>
          <w:rFonts w:ascii="Cambria" w:hAnsi="Cambria"/>
          <w:sz w:val="20"/>
          <w:szCs w:val="20"/>
        </w:rPr>
      </w:pPr>
      <w:r w:rsidRPr="00DA692B">
        <w:rPr>
          <w:rFonts w:ascii="Cambria" w:hAnsi="Cambria"/>
          <w:sz w:val="20"/>
          <w:szCs w:val="20"/>
        </w:rPr>
        <w:t>Sind Epoxidharze verfügbar, die ein geringeres Allergie-Risiko mit sich bringen?</w:t>
      </w:r>
    </w:p>
    <w:p w14:paraId="128F043C" w14:textId="0566DA38" w:rsidR="00386BC6" w:rsidRDefault="00386BC6" w:rsidP="00AC223B">
      <w:pPr>
        <w:tabs>
          <w:tab w:val="left" w:pos="851"/>
          <w:tab w:val="left" w:pos="1418"/>
          <w:tab w:val="left" w:pos="6804"/>
        </w:tabs>
        <w:spacing w:after="0"/>
        <w:rPr>
          <w:szCs w:val="20"/>
        </w:rPr>
      </w:pPr>
      <w:r w:rsidRPr="00386BC6">
        <w:rPr>
          <w:szCs w:val="20"/>
        </w:rPr>
        <w:t xml:space="preserve">Manchmal ist es schwierig, Epoxidharze ganz zu ersetzen, da sie sehr gute, technische Eigenschaften aufweisen. </w:t>
      </w:r>
    </w:p>
    <w:p w14:paraId="5CB30BBB" w14:textId="77777777" w:rsidR="00AC223B" w:rsidRDefault="00AC223B" w:rsidP="00883359">
      <w:pPr>
        <w:tabs>
          <w:tab w:val="left" w:pos="851"/>
          <w:tab w:val="left" w:pos="1418"/>
          <w:tab w:val="left" w:pos="6804"/>
        </w:tabs>
        <w:rPr>
          <w:szCs w:val="20"/>
        </w:rPr>
      </w:pPr>
    </w:p>
    <w:p w14:paraId="5ADFBB60" w14:textId="77777777" w:rsidR="00AF7C4D" w:rsidRDefault="00AF7C4D" w:rsidP="00AC223B">
      <w:pPr>
        <w:tabs>
          <w:tab w:val="left" w:pos="851"/>
          <w:tab w:val="left" w:pos="1418"/>
          <w:tab w:val="left" w:pos="6804"/>
        </w:tabs>
        <w:spacing w:after="0"/>
        <w:rPr>
          <w:color w:val="75A9A4"/>
          <w:szCs w:val="20"/>
        </w:rPr>
      </w:pPr>
      <w:r w:rsidRPr="00AF7C4D">
        <w:rPr>
          <w:color w:val="75A9A4"/>
          <w:szCs w:val="20"/>
        </w:rPr>
        <w:t xml:space="preserve">Weitere Informationen zur Substitution von Epoxidharzen und möglichen, weniger gefährlichen Ersatzstoffen stellt die Berufsgenossenschaft der Bauwirtschaft (BG Bau) über das Gefahrstoff-Informationssystem GISBAU (www.bgbau.de/gisbau) zur Verfügung. </w:t>
      </w:r>
    </w:p>
    <w:p w14:paraId="32C1B3D2" w14:textId="77777777" w:rsidR="00C07C4B" w:rsidRPr="00AF7C4D" w:rsidRDefault="00C07C4B" w:rsidP="00AC223B">
      <w:pPr>
        <w:tabs>
          <w:tab w:val="left" w:pos="851"/>
          <w:tab w:val="left" w:pos="1418"/>
          <w:tab w:val="left" w:pos="6804"/>
        </w:tabs>
        <w:spacing w:after="0"/>
        <w:rPr>
          <w:color w:val="75A9A4"/>
          <w:szCs w:val="20"/>
        </w:rPr>
      </w:pPr>
    </w:p>
    <w:p w14:paraId="0EEF47A6" w14:textId="0C9C6561" w:rsidR="007F14BB" w:rsidRDefault="00AF7C4D" w:rsidP="00883359">
      <w:pPr>
        <w:tabs>
          <w:tab w:val="left" w:pos="851"/>
          <w:tab w:val="left" w:pos="1418"/>
          <w:tab w:val="left" w:pos="6804"/>
        </w:tabs>
        <w:rPr>
          <w:color w:val="75A9A4"/>
          <w:szCs w:val="20"/>
        </w:rPr>
      </w:pPr>
      <w:r w:rsidRPr="00AF7C4D">
        <w:rPr>
          <w:color w:val="75A9A4"/>
          <w:szCs w:val="20"/>
        </w:rPr>
        <w:t>Der als Download verfügbare „Praxisleitfaden für den Umga</w:t>
      </w:r>
      <w:r w:rsidRPr="007F14BB">
        <w:rPr>
          <w:b/>
          <w:color w:val="75A9A4"/>
          <w:szCs w:val="20"/>
        </w:rPr>
        <w:t>ng</w:t>
      </w:r>
      <w:r w:rsidRPr="00AF7C4D">
        <w:rPr>
          <w:color w:val="75A9A4"/>
          <w:szCs w:val="20"/>
        </w:rPr>
        <w:t xml:space="preserve"> mit Epoxidharzen“ zeigt exemplarisch folgende Substitutionsmöglichkeiten auf: </w:t>
      </w:r>
    </w:p>
    <w:p w14:paraId="6D867E04" w14:textId="5B9D5C6F" w:rsidR="008E294D" w:rsidRPr="00AF7C4D" w:rsidRDefault="008E294D" w:rsidP="00883359">
      <w:pPr>
        <w:tabs>
          <w:tab w:val="left" w:pos="851"/>
          <w:tab w:val="left" w:pos="1418"/>
          <w:tab w:val="left" w:pos="6804"/>
        </w:tabs>
        <w:rPr>
          <w:color w:val="75A9A4"/>
          <w:szCs w:val="20"/>
        </w:rPr>
      </w:pPr>
    </w:p>
    <w:p w14:paraId="568713C6" w14:textId="77777777" w:rsidR="008E294D" w:rsidRDefault="008E294D" w:rsidP="00883359">
      <w:pPr>
        <w:tabs>
          <w:tab w:val="left" w:pos="851"/>
          <w:tab w:val="left" w:pos="1418"/>
          <w:tab w:val="left" w:pos="6804"/>
        </w:tabs>
        <w:rPr>
          <w:b/>
          <w:color w:val="75A9A4"/>
          <w:szCs w:val="20"/>
        </w:rPr>
      </w:pPr>
    </w:p>
    <w:p w14:paraId="122F12FE" w14:textId="77777777" w:rsidR="00C07C4B" w:rsidRDefault="00C07C4B" w:rsidP="00883359">
      <w:pPr>
        <w:tabs>
          <w:tab w:val="left" w:pos="851"/>
          <w:tab w:val="left" w:pos="1418"/>
          <w:tab w:val="left" w:pos="6804"/>
        </w:tabs>
        <w:rPr>
          <w:b/>
          <w:color w:val="75A9A4"/>
          <w:szCs w:val="20"/>
        </w:rPr>
      </w:pPr>
    </w:p>
    <w:p w14:paraId="32F857F1" w14:textId="77777777" w:rsidR="00C07C4B" w:rsidRDefault="00C07C4B" w:rsidP="00883359">
      <w:pPr>
        <w:tabs>
          <w:tab w:val="left" w:pos="851"/>
          <w:tab w:val="left" w:pos="1418"/>
          <w:tab w:val="left" w:pos="6804"/>
        </w:tabs>
        <w:rPr>
          <w:b/>
          <w:color w:val="75A9A4"/>
          <w:szCs w:val="20"/>
        </w:rPr>
      </w:pPr>
    </w:p>
    <w:p w14:paraId="7C527ED5" w14:textId="77777777" w:rsidR="00C07C4B" w:rsidRDefault="00C07C4B" w:rsidP="00883359">
      <w:pPr>
        <w:tabs>
          <w:tab w:val="left" w:pos="851"/>
          <w:tab w:val="left" w:pos="1418"/>
          <w:tab w:val="left" w:pos="6804"/>
        </w:tabs>
        <w:rPr>
          <w:b/>
          <w:color w:val="75A9A4"/>
          <w:szCs w:val="20"/>
        </w:rPr>
      </w:pPr>
    </w:p>
    <w:p w14:paraId="03D899C2" w14:textId="77777777" w:rsidR="00C07C4B" w:rsidRDefault="00C07C4B" w:rsidP="00883359">
      <w:pPr>
        <w:tabs>
          <w:tab w:val="left" w:pos="851"/>
          <w:tab w:val="left" w:pos="1418"/>
          <w:tab w:val="left" w:pos="6804"/>
        </w:tabs>
        <w:rPr>
          <w:b/>
          <w:color w:val="75A9A4"/>
          <w:szCs w:val="20"/>
        </w:rPr>
      </w:pPr>
    </w:p>
    <w:p w14:paraId="278F5C01" w14:textId="77777777" w:rsidR="00C07C4B" w:rsidRDefault="00C07C4B" w:rsidP="00883359">
      <w:pPr>
        <w:tabs>
          <w:tab w:val="left" w:pos="851"/>
          <w:tab w:val="left" w:pos="1418"/>
          <w:tab w:val="left" w:pos="6804"/>
        </w:tabs>
        <w:rPr>
          <w:b/>
          <w:color w:val="75A9A4"/>
          <w:szCs w:val="20"/>
        </w:rPr>
        <w:sectPr w:rsidR="00C07C4B" w:rsidSect="008E294D">
          <w:headerReference w:type="even" r:id="rId9"/>
          <w:headerReference w:type="default" r:id="rId10"/>
          <w:footerReference w:type="even" r:id="rId11"/>
          <w:footerReference w:type="default" r:id="rId12"/>
          <w:headerReference w:type="first" r:id="rId13"/>
          <w:footerReference w:type="first" r:id="rId14"/>
          <w:type w:val="continuous"/>
          <w:pgSz w:w="11900" w:h="16840"/>
          <w:pgMar w:top="1134" w:right="1418" w:bottom="1134" w:left="1134" w:header="1134" w:footer="510" w:gutter="0"/>
          <w:cols w:num="2" w:space="708"/>
          <w:titlePg/>
          <w:docGrid w:linePitch="360"/>
          <w15:footnoteColumns w:val="1"/>
        </w:sectPr>
      </w:pPr>
    </w:p>
    <w:tbl>
      <w:tblPr>
        <w:tblStyle w:val="Tabellenraster"/>
        <w:tblW w:w="0" w:type="auto"/>
        <w:tblLook w:val="04A0" w:firstRow="1" w:lastRow="0" w:firstColumn="1" w:lastColumn="0" w:noHBand="0" w:noVBand="1"/>
      </w:tblPr>
      <w:tblGrid>
        <w:gridCol w:w="2122"/>
        <w:gridCol w:w="3118"/>
        <w:gridCol w:w="3969"/>
      </w:tblGrid>
      <w:tr w:rsidR="00AF7C4D" w14:paraId="7607384E" w14:textId="77777777" w:rsidTr="008E294D">
        <w:tc>
          <w:tcPr>
            <w:tcW w:w="2122" w:type="dxa"/>
          </w:tcPr>
          <w:p w14:paraId="44A6894E" w14:textId="0EBBD27F" w:rsidR="00AF7C4D" w:rsidRPr="007F14BB" w:rsidRDefault="00AF7C4D" w:rsidP="00883359">
            <w:pPr>
              <w:tabs>
                <w:tab w:val="left" w:pos="851"/>
                <w:tab w:val="left" w:pos="1418"/>
                <w:tab w:val="left" w:pos="6804"/>
              </w:tabs>
              <w:rPr>
                <w:b/>
                <w:color w:val="75A9A4"/>
                <w:szCs w:val="20"/>
              </w:rPr>
            </w:pPr>
            <w:r w:rsidRPr="007F14BB">
              <w:rPr>
                <w:b/>
                <w:color w:val="75A9A4"/>
                <w:szCs w:val="20"/>
              </w:rPr>
              <w:t>Anwendung</w:t>
            </w:r>
          </w:p>
        </w:tc>
        <w:tc>
          <w:tcPr>
            <w:tcW w:w="3118" w:type="dxa"/>
          </w:tcPr>
          <w:p w14:paraId="43EE5CD0" w14:textId="17B4A2C1" w:rsidR="00AF7C4D" w:rsidRPr="007F14BB" w:rsidRDefault="00AF7C4D" w:rsidP="00883359">
            <w:pPr>
              <w:tabs>
                <w:tab w:val="left" w:pos="851"/>
                <w:tab w:val="left" w:pos="1418"/>
                <w:tab w:val="left" w:pos="6804"/>
              </w:tabs>
              <w:rPr>
                <w:b/>
                <w:color w:val="75A9A4"/>
                <w:szCs w:val="20"/>
              </w:rPr>
            </w:pPr>
            <w:r w:rsidRPr="007F14BB">
              <w:rPr>
                <w:b/>
                <w:color w:val="75A9A4"/>
                <w:szCs w:val="20"/>
              </w:rPr>
              <w:t>Mögliche Alternativen</w:t>
            </w:r>
          </w:p>
        </w:tc>
        <w:tc>
          <w:tcPr>
            <w:tcW w:w="3969" w:type="dxa"/>
          </w:tcPr>
          <w:p w14:paraId="2A6B6B7C" w14:textId="07D47BC4" w:rsidR="00AF7C4D" w:rsidRPr="007F14BB" w:rsidRDefault="00AF7C4D" w:rsidP="00883359">
            <w:pPr>
              <w:tabs>
                <w:tab w:val="left" w:pos="851"/>
                <w:tab w:val="left" w:pos="1418"/>
                <w:tab w:val="left" w:pos="6804"/>
              </w:tabs>
              <w:rPr>
                <w:b/>
                <w:color w:val="75A9A4"/>
                <w:szCs w:val="20"/>
              </w:rPr>
            </w:pPr>
            <w:r w:rsidRPr="007F14BB">
              <w:rPr>
                <w:b/>
                <w:color w:val="75A9A4"/>
                <w:szCs w:val="20"/>
              </w:rPr>
              <w:t>Anmerkungen</w:t>
            </w:r>
          </w:p>
        </w:tc>
      </w:tr>
      <w:tr w:rsidR="00AF7C4D" w14:paraId="4A1BC388" w14:textId="77777777" w:rsidTr="008E294D">
        <w:tc>
          <w:tcPr>
            <w:tcW w:w="2122" w:type="dxa"/>
          </w:tcPr>
          <w:p w14:paraId="0E07F463" w14:textId="020F7E44" w:rsidR="00AF7C4D" w:rsidRPr="007F14BB" w:rsidRDefault="00AF7C4D" w:rsidP="00883359">
            <w:pPr>
              <w:tabs>
                <w:tab w:val="left" w:pos="851"/>
                <w:tab w:val="left" w:pos="1418"/>
                <w:tab w:val="left" w:pos="6804"/>
              </w:tabs>
              <w:rPr>
                <w:color w:val="75A9A4"/>
                <w:szCs w:val="20"/>
              </w:rPr>
            </w:pPr>
            <w:r w:rsidRPr="007F14BB">
              <w:rPr>
                <w:color w:val="75A9A4"/>
                <w:szCs w:val="20"/>
              </w:rPr>
              <w:t>Verfugen von Fliesenbelägen</w:t>
            </w:r>
          </w:p>
        </w:tc>
        <w:tc>
          <w:tcPr>
            <w:tcW w:w="3118" w:type="dxa"/>
          </w:tcPr>
          <w:p w14:paraId="62372ABE" w14:textId="77986096" w:rsidR="00AF7C4D" w:rsidRPr="007F14BB" w:rsidRDefault="00AF7C4D" w:rsidP="00883359">
            <w:pPr>
              <w:tabs>
                <w:tab w:val="left" w:pos="851"/>
                <w:tab w:val="left" w:pos="1418"/>
                <w:tab w:val="left" w:pos="6804"/>
              </w:tabs>
              <w:rPr>
                <w:color w:val="75A9A4"/>
                <w:szCs w:val="20"/>
              </w:rPr>
            </w:pPr>
            <w:r w:rsidRPr="007F14BB">
              <w:rPr>
                <w:color w:val="75A9A4"/>
                <w:szCs w:val="20"/>
              </w:rPr>
              <w:t>Verfugungsmaterial auf Basis von „Alkalisilikaten“</w:t>
            </w:r>
          </w:p>
        </w:tc>
        <w:tc>
          <w:tcPr>
            <w:tcW w:w="3969" w:type="dxa"/>
          </w:tcPr>
          <w:p w14:paraId="796F9E60" w14:textId="36AEA16A" w:rsidR="00AF7C4D" w:rsidRPr="007F14BB" w:rsidRDefault="00AF7C4D" w:rsidP="00883359">
            <w:pPr>
              <w:tabs>
                <w:tab w:val="left" w:pos="851"/>
                <w:tab w:val="left" w:pos="1418"/>
                <w:tab w:val="left" w:pos="6804"/>
              </w:tabs>
              <w:rPr>
                <w:color w:val="75A9A4"/>
                <w:szCs w:val="20"/>
              </w:rPr>
            </w:pPr>
            <w:r w:rsidRPr="007F14BB">
              <w:rPr>
                <w:color w:val="75A9A4"/>
                <w:szCs w:val="20"/>
              </w:rPr>
              <w:t>Einsatz auch bei hoher Chemikalienbelastung möglich</w:t>
            </w:r>
          </w:p>
        </w:tc>
      </w:tr>
      <w:tr w:rsidR="00AF7C4D" w14:paraId="743892EC" w14:textId="77777777" w:rsidTr="008E294D">
        <w:tc>
          <w:tcPr>
            <w:tcW w:w="2122" w:type="dxa"/>
          </w:tcPr>
          <w:p w14:paraId="26291F96" w14:textId="321FE8DF" w:rsidR="00AF7C4D" w:rsidRPr="007F14BB" w:rsidRDefault="00AF7C4D" w:rsidP="00883359">
            <w:pPr>
              <w:tabs>
                <w:tab w:val="left" w:pos="851"/>
                <w:tab w:val="left" w:pos="1418"/>
                <w:tab w:val="left" w:pos="6804"/>
              </w:tabs>
              <w:rPr>
                <w:color w:val="75A9A4"/>
                <w:szCs w:val="20"/>
              </w:rPr>
            </w:pPr>
            <w:r w:rsidRPr="007F14BB">
              <w:rPr>
                <w:color w:val="75A9A4"/>
                <w:szCs w:val="20"/>
              </w:rPr>
              <w:t>Abwasserbereich</w:t>
            </w:r>
          </w:p>
        </w:tc>
        <w:tc>
          <w:tcPr>
            <w:tcW w:w="3118" w:type="dxa"/>
          </w:tcPr>
          <w:p w14:paraId="12AD758B" w14:textId="2350DC64" w:rsidR="00AF7C4D" w:rsidRPr="007F14BB" w:rsidRDefault="00AF7C4D" w:rsidP="00883359">
            <w:pPr>
              <w:tabs>
                <w:tab w:val="left" w:pos="851"/>
                <w:tab w:val="left" w:pos="1418"/>
                <w:tab w:val="left" w:pos="6804"/>
              </w:tabs>
              <w:rPr>
                <w:color w:val="75A9A4"/>
                <w:szCs w:val="20"/>
              </w:rPr>
            </w:pPr>
            <w:r w:rsidRPr="007F14BB">
              <w:rPr>
                <w:color w:val="75A9A4"/>
                <w:szCs w:val="20"/>
              </w:rPr>
              <w:t>Spezialzemente</w:t>
            </w:r>
          </w:p>
        </w:tc>
        <w:tc>
          <w:tcPr>
            <w:tcW w:w="3969" w:type="dxa"/>
          </w:tcPr>
          <w:p w14:paraId="238303E1" w14:textId="32F35C9A" w:rsidR="00AF7C4D" w:rsidRPr="007F14BB" w:rsidRDefault="00AF7C4D" w:rsidP="00883359">
            <w:pPr>
              <w:tabs>
                <w:tab w:val="left" w:pos="851"/>
                <w:tab w:val="left" w:pos="1418"/>
                <w:tab w:val="left" w:pos="6804"/>
              </w:tabs>
              <w:rPr>
                <w:color w:val="75A9A4"/>
                <w:szCs w:val="20"/>
              </w:rPr>
            </w:pPr>
            <w:r w:rsidRPr="007F14BB">
              <w:rPr>
                <w:color w:val="75A9A4"/>
                <w:szCs w:val="20"/>
              </w:rPr>
              <w:t>Diese können als Abdichtungs-/ Beschichtungsmaterial verwendet werden</w:t>
            </w:r>
          </w:p>
        </w:tc>
      </w:tr>
    </w:tbl>
    <w:p w14:paraId="636EE4EB" w14:textId="30510535" w:rsidR="00C07C4B" w:rsidRDefault="007F14BB" w:rsidP="00883359">
      <w:pPr>
        <w:tabs>
          <w:tab w:val="left" w:pos="851"/>
          <w:tab w:val="left" w:pos="1418"/>
          <w:tab w:val="left" w:pos="6804"/>
        </w:tabs>
        <w:rPr>
          <w:color w:val="75A9A4"/>
          <w:sz w:val="16"/>
          <w:szCs w:val="16"/>
        </w:rPr>
        <w:sectPr w:rsidR="00C07C4B" w:rsidSect="008E294D">
          <w:type w:val="continuous"/>
          <w:pgSz w:w="11900" w:h="16840"/>
          <w:pgMar w:top="1134" w:right="1418" w:bottom="1134" w:left="1134" w:header="1134" w:footer="510" w:gutter="0"/>
          <w:cols w:space="708"/>
          <w:titlePg/>
          <w:docGrid w:linePitch="360"/>
          <w15:footnoteColumns w:val="1"/>
        </w:sectPr>
      </w:pPr>
      <w:r w:rsidRPr="007F14BB">
        <w:rPr>
          <w:color w:val="75A9A4"/>
          <w:sz w:val="16"/>
          <w:szCs w:val="16"/>
        </w:rPr>
        <w:t>Quelle: Praxi</w:t>
      </w:r>
      <w:r w:rsidR="008E294D">
        <w:rPr>
          <w:color w:val="75A9A4"/>
          <w:sz w:val="16"/>
          <w:szCs w:val="16"/>
        </w:rPr>
        <w:t>sleitfaden für den Umgang mit E</w:t>
      </w:r>
      <w:r w:rsidRPr="007F14BB">
        <w:rPr>
          <w:color w:val="75A9A4"/>
          <w:sz w:val="16"/>
          <w:szCs w:val="16"/>
        </w:rPr>
        <w:t>poxidharzen, Seite 6.</w:t>
      </w:r>
    </w:p>
    <w:p w14:paraId="4572344A" w14:textId="716151EF" w:rsidR="00386BC6" w:rsidRPr="00386BC6" w:rsidRDefault="00386BC6" w:rsidP="00883359">
      <w:pPr>
        <w:tabs>
          <w:tab w:val="left" w:pos="851"/>
          <w:tab w:val="left" w:pos="1418"/>
          <w:tab w:val="left" w:pos="6804"/>
        </w:tabs>
        <w:outlineLvl w:val="0"/>
        <w:rPr>
          <w:szCs w:val="20"/>
        </w:rPr>
      </w:pPr>
      <w:r w:rsidRPr="00386BC6">
        <w:rPr>
          <w:b/>
          <w:szCs w:val="20"/>
        </w:rPr>
        <w:t xml:space="preserve">T </w:t>
      </w:r>
      <w:r w:rsidRPr="00386BC6">
        <w:rPr>
          <w:b/>
          <w:szCs w:val="20"/>
        </w:rPr>
        <w:sym w:font="Wingdings" w:char="F0E0"/>
      </w:r>
      <w:r w:rsidRPr="00386BC6">
        <w:rPr>
          <w:b/>
          <w:szCs w:val="20"/>
        </w:rPr>
        <w:t xml:space="preserve"> T</w:t>
      </w:r>
      <w:r w:rsidRPr="00386BC6">
        <w:rPr>
          <w:szCs w:val="20"/>
        </w:rPr>
        <w:t xml:space="preserve">echnische Maßnahmen </w:t>
      </w:r>
    </w:p>
    <w:p w14:paraId="494CCB95" w14:textId="495DAB42" w:rsidR="00386BC6" w:rsidRPr="00386BC6" w:rsidRDefault="00386BC6" w:rsidP="00883359">
      <w:pPr>
        <w:tabs>
          <w:tab w:val="left" w:pos="851"/>
          <w:tab w:val="left" w:pos="1418"/>
          <w:tab w:val="left" w:pos="6804"/>
        </w:tabs>
        <w:rPr>
          <w:szCs w:val="20"/>
        </w:rPr>
      </w:pPr>
      <w:r w:rsidRPr="00386BC6">
        <w:rPr>
          <w:szCs w:val="20"/>
        </w:rPr>
        <w:t xml:space="preserve">Wenn eine Gefahrenquelle nicht ersetzt werden kann, muss der Arbeitgeber prüfen, ob technische Maßnahmen die Beschäftigten vor einer möglichen Gefahr schützen können (z. B. Absaugeinrichtungen oder Schutzscheiben an einer Maschine). </w:t>
      </w:r>
    </w:p>
    <w:p w14:paraId="222ADEA9" w14:textId="4674FDCE" w:rsidR="00386BC6" w:rsidRPr="00386BC6" w:rsidRDefault="00386BC6" w:rsidP="00883359">
      <w:pPr>
        <w:tabs>
          <w:tab w:val="left" w:pos="851"/>
          <w:tab w:val="left" w:pos="1418"/>
          <w:tab w:val="left" w:pos="6804"/>
        </w:tabs>
        <w:rPr>
          <w:szCs w:val="20"/>
        </w:rPr>
      </w:pPr>
      <w:r w:rsidRPr="00386BC6">
        <w:rPr>
          <w:szCs w:val="20"/>
        </w:rPr>
        <w:t>Wenn Epoxidharze gemischt und verarbeitet werden, sind folgende technische Maßnahmen möglich:</w:t>
      </w:r>
    </w:p>
    <w:p w14:paraId="61ACB077" w14:textId="77777777" w:rsidR="00386BC6" w:rsidRPr="00386BC6" w:rsidRDefault="00386BC6" w:rsidP="00752635">
      <w:pPr>
        <w:pStyle w:val="Listenabsatz"/>
        <w:numPr>
          <w:ilvl w:val="0"/>
          <w:numId w:val="2"/>
        </w:numPr>
        <w:tabs>
          <w:tab w:val="left" w:pos="851"/>
          <w:tab w:val="left" w:pos="1418"/>
          <w:tab w:val="left" w:pos="6804"/>
        </w:tabs>
        <w:spacing w:after="200" w:line="240" w:lineRule="auto"/>
        <w:ind w:left="284" w:hanging="284"/>
        <w:rPr>
          <w:rFonts w:ascii="Cambria" w:hAnsi="Cambria"/>
          <w:sz w:val="20"/>
          <w:szCs w:val="20"/>
        </w:rPr>
      </w:pPr>
      <w:r w:rsidRPr="00386BC6">
        <w:rPr>
          <w:rFonts w:ascii="Cambria" w:hAnsi="Cambria"/>
          <w:b/>
          <w:sz w:val="20"/>
          <w:szCs w:val="20"/>
        </w:rPr>
        <w:t xml:space="preserve">Mischvorgang: </w:t>
      </w:r>
    </w:p>
    <w:p w14:paraId="401C54D8" w14:textId="77777777" w:rsidR="00DA692B" w:rsidRDefault="00386BC6" w:rsidP="00752635">
      <w:pPr>
        <w:pStyle w:val="Listenabsatz"/>
        <w:numPr>
          <w:ilvl w:val="1"/>
          <w:numId w:val="2"/>
        </w:numPr>
        <w:spacing w:after="200" w:line="240" w:lineRule="auto"/>
        <w:ind w:left="709" w:hanging="283"/>
        <w:rPr>
          <w:rFonts w:ascii="Cambria" w:hAnsi="Cambria"/>
          <w:sz w:val="20"/>
          <w:szCs w:val="20"/>
        </w:rPr>
      </w:pPr>
      <w:r w:rsidRPr="00386BC6">
        <w:rPr>
          <w:rFonts w:ascii="Cambria" w:hAnsi="Cambria"/>
          <w:sz w:val="20"/>
          <w:szCs w:val="20"/>
        </w:rPr>
        <w:t>Verwendung geschlossener, ggf. automatisierter Mischmaschinen, um ein Mischen ohne Spritzer zu ermöglichen (Behälter ggf. abdecken!)</w:t>
      </w:r>
    </w:p>
    <w:p w14:paraId="7DCF12CD" w14:textId="77777777" w:rsidR="00DA692B" w:rsidRDefault="00386BC6" w:rsidP="00752635">
      <w:pPr>
        <w:pStyle w:val="Listenabsatz"/>
        <w:numPr>
          <w:ilvl w:val="1"/>
          <w:numId w:val="2"/>
        </w:numPr>
        <w:spacing w:after="200" w:line="240" w:lineRule="auto"/>
        <w:ind w:left="709" w:hanging="283"/>
        <w:rPr>
          <w:rFonts w:ascii="Cambria" w:hAnsi="Cambria"/>
          <w:sz w:val="20"/>
          <w:szCs w:val="20"/>
        </w:rPr>
      </w:pPr>
      <w:r w:rsidRPr="00DA692B">
        <w:rPr>
          <w:rFonts w:ascii="Cambria" w:hAnsi="Cambria"/>
          <w:sz w:val="20"/>
          <w:szCs w:val="20"/>
        </w:rPr>
        <w:t>Verwendung leicht zu reinigender Maschinen und Einrichtungen</w:t>
      </w:r>
    </w:p>
    <w:p w14:paraId="7447351E" w14:textId="77777777" w:rsidR="00DA692B" w:rsidRDefault="00386BC6" w:rsidP="00752635">
      <w:pPr>
        <w:pStyle w:val="Listenabsatz"/>
        <w:numPr>
          <w:ilvl w:val="1"/>
          <w:numId w:val="2"/>
        </w:numPr>
        <w:spacing w:after="200" w:line="240" w:lineRule="auto"/>
        <w:ind w:left="709" w:hanging="283"/>
        <w:rPr>
          <w:rFonts w:ascii="Cambria" w:hAnsi="Cambria"/>
          <w:sz w:val="20"/>
          <w:szCs w:val="20"/>
        </w:rPr>
      </w:pPr>
      <w:r w:rsidRPr="00DA692B">
        <w:rPr>
          <w:rFonts w:ascii="Cambria" w:hAnsi="Cambria"/>
          <w:sz w:val="20"/>
          <w:szCs w:val="20"/>
        </w:rPr>
        <w:t>Verwendung von stufenlos regulierbaren Rührwerkzeugen (niedrige Drehzahl einstellen!)</w:t>
      </w:r>
    </w:p>
    <w:p w14:paraId="17764AEB" w14:textId="77777777" w:rsidR="00DA692B" w:rsidRDefault="00386BC6" w:rsidP="00752635">
      <w:pPr>
        <w:pStyle w:val="Listenabsatz"/>
        <w:numPr>
          <w:ilvl w:val="1"/>
          <w:numId w:val="2"/>
        </w:numPr>
        <w:spacing w:after="200" w:line="240" w:lineRule="auto"/>
        <w:ind w:left="709" w:hanging="283"/>
        <w:rPr>
          <w:rFonts w:ascii="Cambria" w:hAnsi="Cambria"/>
          <w:sz w:val="20"/>
          <w:szCs w:val="20"/>
        </w:rPr>
      </w:pPr>
      <w:r w:rsidRPr="00DA692B">
        <w:rPr>
          <w:rFonts w:ascii="Cambria" w:hAnsi="Cambria"/>
          <w:sz w:val="20"/>
          <w:szCs w:val="20"/>
        </w:rPr>
        <w:t>Verwendung von langen Rührstäben</w:t>
      </w:r>
    </w:p>
    <w:p w14:paraId="530E2A26" w14:textId="77777777" w:rsidR="00DA692B" w:rsidRDefault="00386BC6" w:rsidP="00752635">
      <w:pPr>
        <w:pStyle w:val="Listenabsatz"/>
        <w:numPr>
          <w:ilvl w:val="1"/>
          <w:numId w:val="2"/>
        </w:numPr>
        <w:spacing w:after="200" w:line="240" w:lineRule="auto"/>
        <w:ind w:left="709" w:hanging="283"/>
        <w:rPr>
          <w:rFonts w:ascii="Cambria" w:hAnsi="Cambria"/>
          <w:sz w:val="20"/>
          <w:szCs w:val="20"/>
        </w:rPr>
      </w:pPr>
      <w:r w:rsidRPr="00DA692B">
        <w:rPr>
          <w:rFonts w:ascii="Cambria" w:hAnsi="Cambria"/>
          <w:sz w:val="20"/>
          <w:szCs w:val="20"/>
        </w:rPr>
        <w:t>Verwendung vollständig geschlossener Systeme (z. B. bei Injektionsharzen)</w:t>
      </w:r>
    </w:p>
    <w:p w14:paraId="19E42171" w14:textId="6173C5DC" w:rsidR="00386BC6" w:rsidRPr="00DA692B" w:rsidRDefault="00386BC6" w:rsidP="00752635">
      <w:pPr>
        <w:pStyle w:val="Listenabsatz"/>
        <w:numPr>
          <w:ilvl w:val="1"/>
          <w:numId w:val="2"/>
        </w:numPr>
        <w:spacing w:after="200" w:line="240" w:lineRule="auto"/>
        <w:ind w:left="709" w:hanging="283"/>
        <w:rPr>
          <w:rFonts w:ascii="Cambria" w:hAnsi="Cambria"/>
          <w:sz w:val="20"/>
          <w:szCs w:val="20"/>
        </w:rPr>
      </w:pPr>
      <w:r w:rsidRPr="00DA692B">
        <w:rPr>
          <w:rFonts w:ascii="Cambria" w:hAnsi="Cambria"/>
          <w:sz w:val="20"/>
          <w:szCs w:val="20"/>
        </w:rPr>
        <w:t>Verwendung von vordosierten „</w:t>
      </w:r>
      <w:r w:rsidRPr="00DA692B">
        <w:rPr>
          <w:rFonts w:ascii="Cambria" w:hAnsi="Cambria"/>
          <w:i/>
          <w:sz w:val="20"/>
          <w:szCs w:val="20"/>
        </w:rPr>
        <w:t>Epoxidkitts</w:t>
      </w:r>
      <w:r w:rsidRPr="00DA692B">
        <w:rPr>
          <w:rFonts w:ascii="Cambria" w:hAnsi="Cambria"/>
          <w:sz w:val="20"/>
          <w:szCs w:val="20"/>
        </w:rPr>
        <w:t>“ oder „</w:t>
      </w:r>
      <w:r w:rsidRPr="00DA692B">
        <w:rPr>
          <w:rFonts w:ascii="Cambria" w:hAnsi="Cambria"/>
          <w:i/>
          <w:sz w:val="20"/>
          <w:szCs w:val="20"/>
        </w:rPr>
        <w:t>2-Komponenten-Dosierungssystemen</w:t>
      </w:r>
      <w:r w:rsidRPr="00DA692B">
        <w:rPr>
          <w:rFonts w:ascii="Cambria" w:hAnsi="Cambria"/>
          <w:sz w:val="20"/>
          <w:szCs w:val="20"/>
        </w:rPr>
        <w:t>“</w:t>
      </w:r>
    </w:p>
    <w:p w14:paraId="5FE39902" w14:textId="72887524" w:rsidR="00386BC6" w:rsidRPr="00386BC6" w:rsidRDefault="00386BC6" w:rsidP="00752635">
      <w:pPr>
        <w:pStyle w:val="Listenabsatz"/>
        <w:numPr>
          <w:ilvl w:val="0"/>
          <w:numId w:val="2"/>
        </w:numPr>
        <w:tabs>
          <w:tab w:val="left" w:pos="851"/>
          <w:tab w:val="left" w:pos="1418"/>
          <w:tab w:val="left" w:pos="6804"/>
        </w:tabs>
        <w:spacing w:after="200" w:line="240" w:lineRule="auto"/>
        <w:ind w:left="284" w:hanging="284"/>
        <w:rPr>
          <w:rFonts w:ascii="Cambria" w:hAnsi="Cambria"/>
          <w:b/>
          <w:sz w:val="20"/>
          <w:szCs w:val="20"/>
        </w:rPr>
      </w:pPr>
      <w:r w:rsidRPr="00386BC6">
        <w:rPr>
          <w:rFonts w:ascii="Cambria" w:hAnsi="Cambria"/>
          <w:b/>
          <w:sz w:val="20"/>
          <w:szCs w:val="20"/>
        </w:rPr>
        <w:t>Verarbeitung:</w:t>
      </w:r>
    </w:p>
    <w:p w14:paraId="06821CAC" w14:textId="77777777" w:rsidR="00DA692B" w:rsidRDefault="00386BC6" w:rsidP="00752635">
      <w:pPr>
        <w:pStyle w:val="Listenabsatz"/>
        <w:numPr>
          <w:ilvl w:val="1"/>
          <w:numId w:val="2"/>
        </w:numPr>
        <w:tabs>
          <w:tab w:val="left" w:pos="1276"/>
          <w:tab w:val="left" w:pos="6804"/>
        </w:tabs>
        <w:spacing w:after="200" w:line="240" w:lineRule="auto"/>
        <w:ind w:left="709" w:hanging="283"/>
        <w:rPr>
          <w:rFonts w:ascii="Cambria" w:hAnsi="Cambria"/>
          <w:sz w:val="20"/>
          <w:szCs w:val="20"/>
        </w:rPr>
      </w:pPr>
      <w:r w:rsidRPr="00386BC6">
        <w:rPr>
          <w:rFonts w:ascii="Cambria" w:hAnsi="Cambria"/>
          <w:sz w:val="20"/>
          <w:szCs w:val="20"/>
        </w:rPr>
        <w:t>Verwendung von Werkzeugen mit langen Stielen (z. B. langstielige Gummiwischer)</w:t>
      </w:r>
    </w:p>
    <w:p w14:paraId="6DF86D40" w14:textId="77777777" w:rsidR="00DA692B" w:rsidRDefault="00386BC6" w:rsidP="00752635">
      <w:pPr>
        <w:pStyle w:val="Listenabsatz"/>
        <w:numPr>
          <w:ilvl w:val="1"/>
          <w:numId w:val="2"/>
        </w:numPr>
        <w:tabs>
          <w:tab w:val="left" w:pos="1276"/>
          <w:tab w:val="left" w:pos="6804"/>
        </w:tabs>
        <w:spacing w:after="200" w:line="240" w:lineRule="auto"/>
        <w:ind w:left="709" w:hanging="283"/>
        <w:rPr>
          <w:rFonts w:ascii="Cambria" w:hAnsi="Cambria"/>
          <w:sz w:val="20"/>
          <w:szCs w:val="20"/>
        </w:rPr>
      </w:pPr>
      <w:r w:rsidRPr="00DA692B">
        <w:rPr>
          <w:rFonts w:ascii="Cambria" w:hAnsi="Cambria"/>
          <w:sz w:val="20"/>
          <w:szCs w:val="20"/>
        </w:rPr>
        <w:t>Verwendung spezieller Spritzschutz-Einrichtungen bei (Farb-)Rollen („Spritzschutzschilder“)</w:t>
      </w:r>
    </w:p>
    <w:p w14:paraId="60BECEE2" w14:textId="77777777" w:rsidR="00DA692B" w:rsidRDefault="00386BC6" w:rsidP="00752635">
      <w:pPr>
        <w:pStyle w:val="Listenabsatz"/>
        <w:numPr>
          <w:ilvl w:val="1"/>
          <w:numId w:val="2"/>
        </w:numPr>
        <w:tabs>
          <w:tab w:val="left" w:pos="1276"/>
          <w:tab w:val="left" w:pos="6804"/>
        </w:tabs>
        <w:spacing w:after="200" w:line="240" w:lineRule="auto"/>
        <w:ind w:left="709" w:hanging="283"/>
        <w:rPr>
          <w:rFonts w:ascii="Cambria" w:hAnsi="Cambria"/>
          <w:sz w:val="20"/>
          <w:szCs w:val="20"/>
        </w:rPr>
      </w:pPr>
      <w:r w:rsidRPr="00DA692B">
        <w:rPr>
          <w:rFonts w:ascii="Cambria" w:hAnsi="Cambria"/>
          <w:sz w:val="20"/>
          <w:szCs w:val="20"/>
        </w:rPr>
        <w:t>Verwendung leicht zu reinigender Werkzeuge oder Verwendung von Einwegwerkzeugen</w:t>
      </w:r>
    </w:p>
    <w:p w14:paraId="6418B876" w14:textId="77777777" w:rsidR="00DA692B" w:rsidRDefault="00386BC6" w:rsidP="00752635">
      <w:pPr>
        <w:pStyle w:val="Listenabsatz"/>
        <w:numPr>
          <w:ilvl w:val="1"/>
          <w:numId w:val="2"/>
        </w:numPr>
        <w:tabs>
          <w:tab w:val="left" w:pos="1276"/>
          <w:tab w:val="left" w:pos="6804"/>
        </w:tabs>
        <w:spacing w:after="200" w:line="240" w:lineRule="auto"/>
        <w:ind w:left="709" w:hanging="283"/>
        <w:rPr>
          <w:rFonts w:ascii="Cambria" w:hAnsi="Cambria"/>
          <w:sz w:val="20"/>
          <w:szCs w:val="20"/>
        </w:rPr>
      </w:pPr>
      <w:r w:rsidRPr="00DA692B">
        <w:rPr>
          <w:rFonts w:ascii="Cambria" w:hAnsi="Cambria"/>
          <w:sz w:val="20"/>
          <w:szCs w:val="20"/>
        </w:rPr>
        <w:t xml:space="preserve">Arbeitsprozesse durch Maschinen unterstützen (z. B. das Auftragen von Bodenbeschichtungen) </w:t>
      </w:r>
    </w:p>
    <w:p w14:paraId="742A1476" w14:textId="7C4C633B" w:rsidR="00C07C4B" w:rsidRDefault="00386BC6" w:rsidP="00752635">
      <w:pPr>
        <w:pStyle w:val="Listenabsatz"/>
        <w:numPr>
          <w:ilvl w:val="1"/>
          <w:numId w:val="2"/>
        </w:numPr>
        <w:tabs>
          <w:tab w:val="left" w:pos="1276"/>
          <w:tab w:val="left" w:pos="6804"/>
        </w:tabs>
        <w:spacing w:after="200" w:line="240" w:lineRule="auto"/>
        <w:ind w:left="709" w:hanging="283"/>
        <w:rPr>
          <w:rFonts w:ascii="Cambria" w:hAnsi="Cambria"/>
          <w:sz w:val="20"/>
          <w:szCs w:val="20"/>
        </w:rPr>
      </w:pPr>
      <w:r w:rsidRPr="00DA692B">
        <w:rPr>
          <w:rFonts w:ascii="Cambria" w:hAnsi="Cambria"/>
          <w:sz w:val="20"/>
          <w:szCs w:val="20"/>
        </w:rPr>
        <w:t>Epoxidharze möglichst nah am Boden ausgießen, um Spritzer zu vermeiden</w:t>
      </w:r>
    </w:p>
    <w:p w14:paraId="1BC0FEFE" w14:textId="09804464" w:rsidR="00386BC6" w:rsidRPr="00386BC6" w:rsidRDefault="00752635" w:rsidP="00752635">
      <w:pPr>
        <w:tabs>
          <w:tab w:val="left" w:pos="1276"/>
          <w:tab w:val="left" w:pos="6804"/>
        </w:tabs>
        <w:rPr>
          <w:szCs w:val="20"/>
        </w:rPr>
      </w:pPr>
      <w:r>
        <w:rPr>
          <w:szCs w:val="20"/>
        </w:rPr>
        <w:br w:type="column"/>
      </w:r>
      <w:r w:rsidR="00386BC6" w:rsidRPr="00386BC6">
        <w:rPr>
          <w:b/>
          <w:szCs w:val="20"/>
        </w:rPr>
        <w:t xml:space="preserve">O </w:t>
      </w:r>
      <w:r w:rsidR="00386BC6" w:rsidRPr="00386BC6">
        <w:rPr>
          <w:b/>
          <w:szCs w:val="20"/>
        </w:rPr>
        <w:sym w:font="Wingdings" w:char="F0E0"/>
      </w:r>
      <w:r w:rsidR="00386BC6" w:rsidRPr="00386BC6">
        <w:rPr>
          <w:b/>
          <w:szCs w:val="20"/>
        </w:rPr>
        <w:t xml:space="preserve"> O</w:t>
      </w:r>
      <w:r w:rsidR="00386BC6" w:rsidRPr="00386BC6">
        <w:rPr>
          <w:szCs w:val="20"/>
        </w:rPr>
        <w:t xml:space="preserve">rganisatorische Maßnahmen </w:t>
      </w:r>
    </w:p>
    <w:p w14:paraId="5603282B" w14:textId="33FD4DF5" w:rsidR="00386BC6" w:rsidRPr="00386BC6" w:rsidRDefault="00386BC6" w:rsidP="00883359">
      <w:pPr>
        <w:tabs>
          <w:tab w:val="left" w:pos="851"/>
          <w:tab w:val="left" w:pos="1418"/>
          <w:tab w:val="left" w:pos="6804"/>
        </w:tabs>
        <w:rPr>
          <w:szCs w:val="20"/>
        </w:rPr>
      </w:pPr>
      <w:r w:rsidRPr="00386BC6">
        <w:rPr>
          <w:szCs w:val="20"/>
        </w:rPr>
        <w:t xml:space="preserve">Auch durch organisatorische Maßnahmen können Gefahren am Arbeitsplatz vermieden werden. Die Unterweisung von Beschäftigten zur Anwendung von persönlicher Schutzausrüstung ist eine organisatorische Maßnahme. Den Zugang zu bestimmten Arbeitsbereichen ausschließlich für geschultes Personal freizugeben, ist eine weitere organisatorische Maßnahme. </w:t>
      </w:r>
    </w:p>
    <w:p w14:paraId="5228E7EA" w14:textId="33A42B85" w:rsidR="00386BC6" w:rsidRPr="00386BC6" w:rsidRDefault="00386BC6" w:rsidP="00883359">
      <w:pPr>
        <w:tabs>
          <w:tab w:val="left" w:pos="851"/>
          <w:tab w:val="left" w:pos="1418"/>
          <w:tab w:val="left" w:pos="6804"/>
        </w:tabs>
        <w:rPr>
          <w:szCs w:val="20"/>
        </w:rPr>
      </w:pPr>
      <w:r w:rsidRPr="00386BC6">
        <w:rPr>
          <w:szCs w:val="20"/>
        </w:rPr>
        <w:t>Bei Epoxidharzen sind folgende Maßnahmen möglich:</w:t>
      </w:r>
    </w:p>
    <w:p w14:paraId="5A308724" w14:textId="77777777" w:rsidR="0067573A" w:rsidRDefault="00386BC6" w:rsidP="00067D20">
      <w:pPr>
        <w:pStyle w:val="Listenabsatz"/>
        <w:numPr>
          <w:ilvl w:val="0"/>
          <w:numId w:val="3"/>
        </w:numPr>
        <w:tabs>
          <w:tab w:val="left" w:pos="851"/>
          <w:tab w:val="left" w:pos="1418"/>
          <w:tab w:val="left" w:pos="6804"/>
        </w:tabs>
        <w:spacing w:after="200" w:line="240" w:lineRule="auto"/>
        <w:ind w:left="284" w:hanging="283"/>
        <w:rPr>
          <w:rFonts w:ascii="Cambria" w:hAnsi="Cambria"/>
          <w:i/>
          <w:sz w:val="20"/>
          <w:szCs w:val="20"/>
        </w:rPr>
      </w:pPr>
      <w:r w:rsidRPr="00386BC6">
        <w:rPr>
          <w:rFonts w:ascii="Cambria" w:hAnsi="Cambria"/>
          <w:sz w:val="20"/>
          <w:szCs w:val="20"/>
        </w:rPr>
        <w:t xml:space="preserve">Unterweisung der Beschäftigten </w:t>
      </w:r>
      <w:r w:rsidRPr="00386BC6">
        <w:rPr>
          <w:rFonts w:ascii="Cambria" w:hAnsi="Cambria"/>
          <w:sz w:val="20"/>
          <w:szCs w:val="20"/>
          <w:u w:val="single"/>
        </w:rPr>
        <w:t>vor der erstmaligen</w:t>
      </w:r>
      <w:r w:rsidRPr="00386BC6">
        <w:rPr>
          <w:rFonts w:ascii="Cambria" w:hAnsi="Cambria"/>
          <w:sz w:val="20"/>
          <w:szCs w:val="20"/>
        </w:rPr>
        <w:t xml:space="preserve"> Verarbeitung von Epoxidharz-haltigen Produkten, z. B. zur richtigen Verwendung von Schutzhandschuhen </w:t>
      </w:r>
      <w:r w:rsidRPr="007F14BB">
        <w:rPr>
          <w:rFonts w:ascii="Cambria" w:hAnsi="Cambria"/>
          <w:i/>
          <w:color w:val="75A9A4"/>
          <w:sz w:val="20"/>
          <w:szCs w:val="20"/>
        </w:rPr>
        <w:t>(siehe § 12 Arbeitsschutzgesetz)</w:t>
      </w:r>
    </w:p>
    <w:p w14:paraId="28219EAD" w14:textId="12BD639F" w:rsidR="00386BC6" w:rsidRPr="0067573A" w:rsidRDefault="00386BC6" w:rsidP="00067D20">
      <w:pPr>
        <w:pStyle w:val="Listenabsatz"/>
        <w:numPr>
          <w:ilvl w:val="0"/>
          <w:numId w:val="3"/>
        </w:numPr>
        <w:tabs>
          <w:tab w:val="left" w:pos="851"/>
          <w:tab w:val="left" w:pos="1418"/>
          <w:tab w:val="left" w:pos="6804"/>
        </w:tabs>
        <w:spacing w:after="200" w:line="240" w:lineRule="auto"/>
        <w:ind w:left="284" w:hanging="283"/>
        <w:rPr>
          <w:rFonts w:ascii="Cambria" w:hAnsi="Cambria"/>
          <w:i/>
          <w:sz w:val="20"/>
          <w:szCs w:val="20"/>
        </w:rPr>
      </w:pPr>
      <w:r w:rsidRPr="0067573A">
        <w:rPr>
          <w:rFonts w:ascii="Cambria" w:hAnsi="Cambria"/>
          <w:sz w:val="20"/>
          <w:szCs w:val="20"/>
        </w:rPr>
        <w:t xml:space="preserve">Bereitstellung von persönlicher Schutzausrüstung (z. B. Schutzhandschuhe oder Schutzhosen) </w:t>
      </w:r>
    </w:p>
    <w:p w14:paraId="1A798E04" w14:textId="77777777" w:rsidR="0067573A" w:rsidRPr="0067573A" w:rsidRDefault="00386BC6" w:rsidP="00067D20">
      <w:pPr>
        <w:pStyle w:val="Listenabsatz"/>
        <w:numPr>
          <w:ilvl w:val="0"/>
          <w:numId w:val="3"/>
        </w:numPr>
        <w:tabs>
          <w:tab w:val="left" w:pos="851"/>
          <w:tab w:val="left" w:pos="1418"/>
          <w:tab w:val="left" w:pos="6804"/>
        </w:tabs>
        <w:spacing w:after="200" w:line="240" w:lineRule="auto"/>
        <w:ind w:left="284" w:hanging="283"/>
        <w:rPr>
          <w:rFonts w:ascii="Cambria" w:hAnsi="Cambria"/>
          <w:i/>
          <w:sz w:val="20"/>
          <w:szCs w:val="20"/>
        </w:rPr>
      </w:pPr>
      <w:r w:rsidRPr="00386BC6">
        <w:rPr>
          <w:rFonts w:ascii="Cambria" w:hAnsi="Cambria"/>
          <w:sz w:val="20"/>
          <w:szCs w:val="20"/>
        </w:rPr>
        <w:t>Einrichten eines separaten und geschlossenen Mischbereiches, in dem Behälter sicher stehen und nicht umkippen können</w:t>
      </w:r>
    </w:p>
    <w:p w14:paraId="6F020DFD" w14:textId="77777777" w:rsidR="0067573A" w:rsidRPr="0067573A" w:rsidRDefault="00386BC6" w:rsidP="00067D20">
      <w:pPr>
        <w:pStyle w:val="Listenabsatz"/>
        <w:numPr>
          <w:ilvl w:val="0"/>
          <w:numId w:val="3"/>
        </w:numPr>
        <w:tabs>
          <w:tab w:val="left" w:pos="851"/>
          <w:tab w:val="left" w:pos="1418"/>
          <w:tab w:val="left" w:pos="6804"/>
        </w:tabs>
        <w:spacing w:after="200" w:line="240" w:lineRule="auto"/>
        <w:ind w:left="284" w:hanging="283"/>
        <w:rPr>
          <w:rFonts w:ascii="Cambria" w:hAnsi="Cambria"/>
          <w:i/>
          <w:sz w:val="20"/>
          <w:szCs w:val="20"/>
        </w:rPr>
      </w:pPr>
      <w:r w:rsidRPr="0067573A">
        <w:rPr>
          <w:rFonts w:ascii="Cambria" w:hAnsi="Cambria"/>
          <w:sz w:val="20"/>
          <w:szCs w:val="20"/>
        </w:rPr>
        <w:t>Arbeitsplätze, Arbeitsflächen und Werkzeuge sauber halten und benutzte Werkzeuge nicht herumliegen lassen</w:t>
      </w:r>
    </w:p>
    <w:p w14:paraId="15206DC1" w14:textId="77777777" w:rsidR="0067573A" w:rsidRPr="0067573A" w:rsidRDefault="00386BC6" w:rsidP="00067D20">
      <w:pPr>
        <w:pStyle w:val="Listenabsatz"/>
        <w:numPr>
          <w:ilvl w:val="0"/>
          <w:numId w:val="3"/>
        </w:numPr>
        <w:tabs>
          <w:tab w:val="left" w:pos="851"/>
          <w:tab w:val="left" w:pos="1418"/>
          <w:tab w:val="left" w:pos="6804"/>
        </w:tabs>
        <w:spacing w:after="200" w:line="240" w:lineRule="auto"/>
        <w:ind w:left="284" w:hanging="283"/>
        <w:rPr>
          <w:rFonts w:ascii="Cambria" w:hAnsi="Cambria"/>
          <w:i/>
          <w:sz w:val="20"/>
          <w:szCs w:val="20"/>
        </w:rPr>
      </w:pPr>
      <w:r w:rsidRPr="0067573A">
        <w:rPr>
          <w:rFonts w:ascii="Cambria" w:hAnsi="Cambria"/>
          <w:sz w:val="20"/>
          <w:szCs w:val="20"/>
        </w:rPr>
        <w:t>Für ausreichende Belüftung sorgen</w:t>
      </w:r>
    </w:p>
    <w:p w14:paraId="545BAEA3" w14:textId="77777777" w:rsidR="0067573A" w:rsidRPr="0067573A" w:rsidRDefault="00386BC6" w:rsidP="00067D20">
      <w:pPr>
        <w:pStyle w:val="Listenabsatz"/>
        <w:numPr>
          <w:ilvl w:val="0"/>
          <w:numId w:val="3"/>
        </w:numPr>
        <w:tabs>
          <w:tab w:val="left" w:pos="851"/>
          <w:tab w:val="left" w:pos="1418"/>
          <w:tab w:val="left" w:pos="6804"/>
        </w:tabs>
        <w:spacing w:after="200" w:line="240" w:lineRule="auto"/>
        <w:ind w:left="284" w:hanging="283"/>
        <w:rPr>
          <w:rFonts w:ascii="Cambria" w:hAnsi="Cambria"/>
          <w:i/>
          <w:sz w:val="20"/>
          <w:szCs w:val="20"/>
        </w:rPr>
      </w:pPr>
      <w:r w:rsidRPr="0067573A">
        <w:rPr>
          <w:rFonts w:ascii="Cambria" w:hAnsi="Cambria"/>
          <w:sz w:val="20"/>
          <w:szCs w:val="20"/>
        </w:rPr>
        <w:t>Gebrauchte Gebinde verschließen und leere Gebinde fachgerecht entsorgen</w:t>
      </w:r>
    </w:p>
    <w:p w14:paraId="726063C1" w14:textId="77777777" w:rsidR="0067573A" w:rsidRPr="0067573A" w:rsidRDefault="00386BC6" w:rsidP="00067D20">
      <w:pPr>
        <w:pStyle w:val="Listenabsatz"/>
        <w:numPr>
          <w:ilvl w:val="0"/>
          <w:numId w:val="3"/>
        </w:numPr>
        <w:tabs>
          <w:tab w:val="left" w:pos="851"/>
          <w:tab w:val="left" w:pos="1418"/>
          <w:tab w:val="left" w:pos="6804"/>
        </w:tabs>
        <w:spacing w:after="200" w:line="240" w:lineRule="auto"/>
        <w:ind w:left="284" w:hanging="283"/>
        <w:rPr>
          <w:rFonts w:ascii="Cambria" w:hAnsi="Cambria"/>
          <w:i/>
          <w:sz w:val="20"/>
          <w:szCs w:val="20"/>
        </w:rPr>
      </w:pPr>
      <w:r w:rsidRPr="0067573A">
        <w:rPr>
          <w:rFonts w:ascii="Cambria" w:hAnsi="Cambria"/>
          <w:sz w:val="20"/>
          <w:szCs w:val="20"/>
        </w:rPr>
        <w:t xml:space="preserve">Anzahl der Personen, die Epoxidharze verarbeiten, möglichst gering halten </w:t>
      </w:r>
    </w:p>
    <w:p w14:paraId="4CD83F30" w14:textId="77777777" w:rsidR="0067573A" w:rsidRPr="0067573A" w:rsidRDefault="00386BC6" w:rsidP="00067D20">
      <w:pPr>
        <w:pStyle w:val="Listenabsatz"/>
        <w:numPr>
          <w:ilvl w:val="0"/>
          <w:numId w:val="3"/>
        </w:numPr>
        <w:tabs>
          <w:tab w:val="left" w:pos="851"/>
          <w:tab w:val="left" w:pos="1418"/>
          <w:tab w:val="left" w:pos="6804"/>
        </w:tabs>
        <w:spacing w:after="200" w:line="240" w:lineRule="auto"/>
        <w:ind w:left="284" w:hanging="283"/>
        <w:rPr>
          <w:rFonts w:ascii="Cambria" w:hAnsi="Cambria"/>
          <w:i/>
          <w:sz w:val="20"/>
          <w:szCs w:val="20"/>
        </w:rPr>
      </w:pPr>
      <w:r w:rsidRPr="0067573A">
        <w:rPr>
          <w:rFonts w:ascii="Cambria" w:hAnsi="Cambria"/>
          <w:sz w:val="20"/>
          <w:szCs w:val="20"/>
        </w:rPr>
        <w:t>Zugang zu Epoxidharzen am Arbeitsplatz beschränken</w:t>
      </w:r>
    </w:p>
    <w:p w14:paraId="4CD3A463" w14:textId="77777777" w:rsidR="0067573A" w:rsidRPr="0067573A" w:rsidRDefault="00386BC6" w:rsidP="00067D20">
      <w:pPr>
        <w:pStyle w:val="Listenabsatz"/>
        <w:numPr>
          <w:ilvl w:val="0"/>
          <w:numId w:val="3"/>
        </w:numPr>
        <w:tabs>
          <w:tab w:val="left" w:pos="851"/>
          <w:tab w:val="left" w:pos="1418"/>
          <w:tab w:val="left" w:pos="6804"/>
        </w:tabs>
        <w:spacing w:after="200" w:line="240" w:lineRule="auto"/>
        <w:ind w:left="284" w:hanging="283"/>
        <w:rPr>
          <w:rFonts w:ascii="Cambria" w:hAnsi="Cambria"/>
          <w:i/>
          <w:sz w:val="20"/>
          <w:szCs w:val="20"/>
        </w:rPr>
      </w:pPr>
      <w:r w:rsidRPr="0067573A">
        <w:rPr>
          <w:rFonts w:ascii="Cambria" w:hAnsi="Cambria"/>
          <w:sz w:val="20"/>
          <w:szCs w:val="20"/>
        </w:rPr>
        <w:t xml:space="preserve">Möglichkeit einrichten, sich die Haut zu reinigen </w:t>
      </w:r>
    </w:p>
    <w:p w14:paraId="229C7712" w14:textId="77777777" w:rsidR="0067573A" w:rsidRPr="0067573A" w:rsidRDefault="00386BC6" w:rsidP="00067D20">
      <w:pPr>
        <w:pStyle w:val="Listenabsatz"/>
        <w:numPr>
          <w:ilvl w:val="0"/>
          <w:numId w:val="3"/>
        </w:numPr>
        <w:tabs>
          <w:tab w:val="left" w:pos="851"/>
          <w:tab w:val="left" w:pos="1418"/>
          <w:tab w:val="left" w:pos="6804"/>
        </w:tabs>
        <w:spacing w:after="200" w:line="240" w:lineRule="auto"/>
        <w:ind w:left="284" w:hanging="283"/>
        <w:rPr>
          <w:rFonts w:ascii="Cambria" w:hAnsi="Cambria"/>
          <w:i/>
          <w:sz w:val="20"/>
          <w:szCs w:val="20"/>
        </w:rPr>
      </w:pPr>
      <w:r w:rsidRPr="0067573A">
        <w:rPr>
          <w:rFonts w:ascii="Cambria" w:hAnsi="Cambria"/>
          <w:sz w:val="20"/>
          <w:szCs w:val="20"/>
        </w:rPr>
        <w:t>Aushängen eines Hautschutzplans</w:t>
      </w:r>
    </w:p>
    <w:p w14:paraId="363819B9" w14:textId="77777777" w:rsidR="0067573A" w:rsidRPr="0067573A" w:rsidRDefault="00386BC6" w:rsidP="00067D20">
      <w:pPr>
        <w:pStyle w:val="Listenabsatz"/>
        <w:numPr>
          <w:ilvl w:val="0"/>
          <w:numId w:val="3"/>
        </w:numPr>
        <w:tabs>
          <w:tab w:val="left" w:pos="851"/>
          <w:tab w:val="left" w:pos="1418"/>
          <w:tab w:val="left" w:pos="6804"/>
        </w:tabs>
        <w:spacing w:after="200" w:line="240" w:lineRule="auto"/>
        <w:ind w:left="284" w:hanging="283"/>
        <w:rPr>
          <w:rFonts w:ascii="Cambria" w:hAnsi="Cambria"/>
          <w:i/>
          <w:sz w:val="20"/>
          <w:szCs w:val="20"/>
        </w:rPr>
      </w:pPr>
      <w:r w:rsidRPr="0067573A">
        <w:rPr>
          <w:rFonts w:ascii="Cambria" w:hAnsi="Cambria"/>
          <w:sz w:val="20"/>
          <w:szCs w:val="20"/>
        </w:rPr>
        <w:t>Bereitstellung einer Betriebsanweisung in verständlicher Form</w:t>
      </w:r>
    </w:p>
    <w:p w14:paraId="280C3209" w14:textId="213F994A" w:rsidR="00386BC6" w:rsidRPr="00752635" w:rsidRDefault="00386BC6" w:rsidP="00067D20">
      <w:pPr>
        <w:pStyle w:val="Listenabsatz"/>
        <w:numPr>
          <w:ilvl w:val="0"/>
          <w:numId w:val="3"/>
        </w:numPr>
        <w:tabs>
          <w:tab w:val="left" w:pos="851"/>
          <w:tab w:val="left" w:pos="1418"/>
          <w:tab w:val="left" w:pos="6804"/>
        </w:tabs>
        <w:spacing w:after="200" w:line="240" w:lineRule="auto"/>
        <w:ind w:left="284" w:hanging="283"/>
        <w:rPr>
          <w:rFonts w:ascii="Cambria" w:hAnsi="Cambria"/>
          <w:i/>
          <w:sz w:val="20"/>
          <w:szCs w:val="20"/>
        </w:rPr>
      </w:pPr>
      <w:r w:rsidRPr="0067573A">
        <w:rPr>
          <w:rFonts w:ascii="Cambria" w:hAnsi="Cambria"/>
          <w:sz w:val="20"/>
          <w:szCs w:val="20"/>
        </w:rPr>
        <w:t>Zugang zu Sicherheitsdatenblättern ermöglichen</w:t>
      </w:r>
    </w:p>
    <w:p w14:paraId="7ABF9F6E" w14:textId="77777777" w:rsidR="00752635" w:rsidRDefault="00752635" w:rsidP="00752635">
      <w:pPr>
        <w:tabs>
          <w:tab w:val="left" w:pos="851"/>
          <w:tab w:val="left" w:pos="1418"/>
          <w:tab w:val="left" w:pos="6804"/>
        </w:tabs>
        <w:rPr>
          <w:i/>
          <w:szCs w:val="20"/>
        </w:rPr>
      </w:pPr>
    </w:p>
    <w:p w14:paraId="4F44985C" w14:textId="77777777" w:rsidR="00752635" w:rsidRPr="00752635" w:rsidRDefault="00752635" w:rsidP="00752635">
      <w:pPr>
        <w:tabs>
          <w:tab w:val="left" w:pos="851"/>
          <w:tab w:val="left" w:pos="1418"/>
          <w:tab w:val="left" w:pos="6804"/>
        </w:tabs>
        <w:rPr>
          <w:i/>
          <w:szCs w:val="20"/>
        </w:rPr>
      </w:pPr>
    </w:p>
    <w:p w14:paraId="76E84A39" w14:textId="77777777" w:rsidR="00386BC6" w:rsidRPr="00386BC6" w:rsidRDefault="00386BC6" w:rsidP="00883359">
      <w:pPr>
        <w:tabs>
          <w:tab w:val="left" w:pos="851"/>
          <w:tab w:val="left" w:pos="1418"/>
          <w:tab w:val="left" w:pos="6804"/>
        </w:tabs>
        <w:outlineLvl w:val="0"/>
        <w:rPr>
          <w:szCs w:val="20"/>
        </w:rPr>
      </w:pPr>
      <w:r w:rsidRPr="00386BC6">
        <w:rPr>
          <w:b/>
          <w:szCs w:val="20"/>
        </w:rPr>
        <w:lastRenderedPageBreak/>
        <w:t xml:space="preserve">P </w:t>
      </w:r>
      <w:r w:rsidRPr="00386BC6">
        <w:rPr>
          <w:b/>
          <w:szCs w:val="20"/>
        </w:rPr>
        <w:sym w:font="Wingdings" w:char="F0E0"/>
      </w:r>
      <w:r w:rsidRPr="00386BC6">
        <w:rPr>
          <w:b/>
          <w:szCs w:val="20"/>
        </w:rPr>
        <w:t xml:space="preserve"> P</w:t>
      </w:r>
      <w:r w:rsidRPr="00386BC6">
        <w:rPr>
          <w:szCs w:val="20"/>
        </w:rPr>
        <w:t xml:space="preserve">ersonenbezogene Maßnahmen </w:t>
      </w:r>
    </w:p>
    <w:p w14:paraId="48746D6F" w14:textId="77777777" w:rsidR="00386BC6" w:rsidRPr="00386BC6" w:rsidRDefault="00386BC6" w:rsidP="00883359">
      <w:pPr>
        <w:rPr>
          <w:szCs w:val="20"/>
        </w:rPr>
      </w:pPr>
      <w:r w:rsidRPr="00386BC6">
        <w:rPr>
          <w:szCs w:val="20"/>
        </w:rPr>
        <w:t>Persönliche Schutzausrüstung (kurz: PSA) wird ergänzend zu den technischen und organisatorischen Maßnahmen verwendet. Hierzu zählen zum Beispiel Helme, Schutzkleidung, Sicherheitsschuhe und Handschuhe.</w:t>
      </w:r>
    </w:p>
    <w:p w14:paraId="35971790" w14:textId="62E8F9AA" w:rsidR="00386BC6" w:rsidRPr="00386BC6" w:rsidRDefault="00386BC6" w:rsidP="00883359">
      <w:pPr>
        <w:tabs>
          <w:tab w:val="left" w:pos="851"/>
          <w:tab w:val="left" w:pos="1418"/>
          <w:tab w:val="left" w:pos="6804"/>
        </w:tabs>
        <w:rPr>
          <w:szCs w:val="20"/>
        </w:rPr>
      </w:pPr>
      <w:r w:rsidRPr="00386BC6">
        <w:rPr>
          <w:szCs w:val="20"/>
        </w:rPr>
        <w:t xml:space="preserve">Beim Umgang von Epoxidharzen kann die benötigte persönliche Schutzausrüstung (PSA) je nach Art der Verarbeitung sehr unterschiedlich sein. Folgende Maßnahmen können notwendig sein: </w:t>
      </w:r>
    </w:p>
    <w:p w14:paraId="006FB9CC" w14:textId="387DEC8A" w:rsidR="00386BC6" w:rsidRPr="00386BC6" w:rsidRDefault="00386BC6" w:rsidP="00752635">
      <w:pPr>
        <w:pStyle w:val="Listenabsatz"/>
        <w:numPr>
          <w:ilvl w:val="0"/>
          <w:numId w:val="3"/>
        </w:numPr>
        <w:tabs>
          <w:tab w:val="left" w:pos="851"/>
          <w:tab w:val="left" w:pos="1418"/>
          <w:tab w:val="left" w:pos="6804"/>
        </w:tabs>
        <w:spacing w:after="200" w:line="240" w:lineRule="auto"/>
        <w:ind w:left="284" w:hanging="284"/>
        <w:rPr>
          <w:rFonts w:ascii="Cambria" w:hAnsi="Cambria"/>
          <w:i/>
          <w:sz w:val="20"/>
          <w:szCs w:val="20"/>
        </w:rPr>
      </w:pPr>
      <w:r w:rsidRPr="00386BC6">
        <w:rPr>
          <w:rFonts w:ascii="Cambria" w:hAnsi="Cambria"/>
          <w:b/>
          <w:sz w:val="20"/>
          <w:szCs w:val="20"/>
        </w:rPr>
        <w:t>Tragen von persönlicher Schutzausrüstung:</w:t>
      </w:r>
    </w:p>
    <w:p w14:paraId="69772E35" w14:textId="77777777" w:rsidR="0067573A" w:rsidRPr="0067573A" w:rsidRDefault="00386BC6" w:rsidP="00067D20">
      <w:pPr>
        <w:pStyle w:val="Listenabsatz"/>
        <w:numPr>
          <w:ilvl w:val="1"/>
          <w:numId w:val="3"/>
        </w:numPr>
        <w:tabs>
          <w:tab w:val="left" w:pos="6804"/>
        </w:tabs>
        <w:spacing w:after="200" w:line="240" w:lineRule="auto"/>
        <w:ind w:left="709" w:hanging="283"/>
        <w:rPr>
          <w:rFonts w:ascii="Cambria" w:hAnsi="Cambria"/>
          <w:i/>
          <w:sz w:val="20"/>
          <w:szCs w:val="20"/>
        </w:rPr>
      </w:pPr>
      <w:r w:rsidRPr="00386BC6">
        <w:rPr>
          <w:rFonts w:ascii="Cambria" w:hAnsi="Cambria"/>
          <w:sz w:val="20"/>
          <w:szCs w:val="20"/>
        </w:rPr>
        <w:t xml:space="preserve">Augen- und Gesichtsschutz verwenden (z. B. Schutzbrille oder Gesichtsschutzschild) </w:t>
      </w:r>
    </w:p>
    <w:p w14:paraId="5A325CD4" w14:textId="77777777" w:rsidR="0067573A" w:rsidRPr="0067573A" w:rsidRDefault="00386BC6" w:rsidP="00067D20">
      <w:pPr>
        <w:pStyle w:val="Listenabsatz"/>
        <w:numPr>
          <w:ilvl w:val="1"/>
          <w:numId w:val="3"/>
        </w:numPr>
        <w:tabs>
          <w:tab w:val="left" w:pos="6804"/>
        </w:tabs>
        <w:spacing w:after="200" w:line="240" w:lineRule="auto"/>
        <w:ind w:left="709" w:hanging="283"/>
        <w:rPr>
          <w:rFonts w:ascii="Cambria" w:hAnsi="Cambria"/>
          <w:i/>
          <w:sz w:val="20"/>
          <w:szCs w:val="20"/>
        </w:rPr>
      </w:pPr>
      <w:r w:rsidRPr="0067573A">
        <w:rPr>
          <w:rFonts w:ascii="Cambria" w:hAnsi="Cambria"/>
          <w:sz w:val="20"/>
          <w:szCs w:val="20"/>
        </w:rPr>
        <w:t xml:space="preserve">Atemschutz verwenden (z. B bei der Verarbeitung lösemittelhaltiger Epoxidharze oder beim Aufsprühen Epoxidharz-haltiger Produkte) </w:t>
      </w:r>
    </w:p>
    <w:p w14:paraId="172700BC" w14:textId="77777777" w:rsidR="0067573A" w:rsidRPr="0067573A" w:rsidRDefault="00386BC6" w:rsidP="00067D20">
      <w:pPr>
        <w:pStyle w:val="Listenabsatz"/>
        <w:numPr>
          <w:ilvl w:val="1"/>
          <w:numId w:val="3"/>
        </w:numPr>
        <w:tabs>
          <w:tab w:val="left" w:pos="6804"/>
        </w:tabs>
        <w:spacing w:after="200" w:line="240" w:lineRule="auto"/>
        <w:ind w:left="709" w:hanging="283"/>
        <w:rPr>
          <w:rFonts w:ascii="Cambria" w:hAnsi="Cambria"/>
          <w:i/>
          <w:sz w:val="20"/>
          <w:szCs w:val="20"/>
        </w:rPr>
      </w:pPr>
      <w:r w:rsidRPr="0067573A">
        <w:rPr>
          <w:rFonts w:ascii="Cambria" w:hAnsi="Cambria"/>
          <w:sz w:val="20"/>
          <w:szCs w:val="20"/>
        </w:rPr>
        <w:t xml:space="preserve">langärmelige Hemden und lange Hosen tragen, zusätzlich ggf. Schutzkleidung verwenden (z. B. Schürzen, Einweg-Schutzhosen oder Schutzanzüge / Einweg-Overalls, Knie- und Unterschenkelschutz) </w:t>
      </w:r>
    </w:p>
    <w:p w14:paraId="3439CBD2" w14:textId="77777777" w:rsidR="007F14BB" w:rsidRPr="007F14BB" w:rsidRDefault="00386BC6" w:rsidP="00067D20">
      <w:pPr>
        <w:pStyle w:val="Listenabsatz"/>
        <w:numPr>
          <w:ilvl w:val="1"/>
          <w:numId w:val="3"/>
        </w:numPr>
        <w:tabs>
          <w:tab w:val="left" w:pos="6804"/>
        </w:tabs>
        <w:spacing w:after="200" w:line="240" w:lineRule="auto"/>
        <w:ind w:left="709" w:hanging="283"/>
        <w:rPr>
          <w:rFonts w:ascii="Cambria" w:hAnsi="Cambria"/>
          <w:i/>
          <w:sz w:val="20"/>
          <w:szCs w:val="20"/>
        </w:rPr>
      </w:pPr>
      <w:r w:rsidRPr="0067573A">
        <w:rPr>
          <w:rFonts w:ascii="Cambria" w:hAnsi="Cambria"/>
          <w:sz w:val="20"/>
          <w:szCs w:val="20"/>
        </w:rPr>
        <w:t>geeignete Chemikalien-Schutzhandschuhe aus Nitril- oder Butylkautschuk verwenden</w:t>
      </w:r>
    </w:p>
    <w:p w14:paraId="2BC2BCC3" w14:textId="264A7AB2" w:rsidR="007F14BB" w:rsidRPr="007F14BB" w:rsidRDefault="00386BC6" w:rsidP="00067D20">
      <w:pPr>
        <w:pStyle w:val="Listenabsatz"/>
        <w:numPr>
          <w:ilvl w:val="1"/>
          <w:numId w:val="3"/>
        </w:numPr>
        <w:tabs>
          <w:tab w:val="left" w:pos="6804"/>
        </w:tabs>
        <w:spacing w:after="200" w:line="240" w:lineRule="auto"/>
        <w:ind w:left="709" w:hanging="283"/>
        <w:rPr>
          <w:rFonts w:ascii="Cambria" w:hAnsi="Cambria"/>
          <w:i/>
          <w:sz w:val="20"/>
          <w:szCs w:val="20"/>
        </w:rPr>
      </w:pPr>
      <w:r w:rsidRPr="007F14BB">
        <w:rPr>
          <w:rFonts w:ascii="Cambria" w:hAnsi="Cambria"/>
          <w:sz w:val="20"/>
          <w:szCs w:val="20"/>
        </w:rPr>
        <w:t>Gummistiefel und ggf. Nagelschuhe tragen (z. B. beim Verlegen und Beschichten von Böden)</w:t>
      </w:r>
    </w:p>
    <w:p w14:paraId="086E6C6B" w14:textId="598DCB4A" w:rsidR="00386BC6" w:rsidRPr="00386BC6" w:rsidRDefault="00386BC6" w:rsidP="00752635">
      <w:pPr>
        <w:pStyle w:val="Listenabsatz"/>
        <w:numPr>
          <w:ilvl w:val="0"/>
          <w:numId w:val="4"/>
        </w:numPr>
        <w:tabs>
          <w:tab w:val="left" w:pos="851"/>
          <w:tab w:val="left" w:pos="1418"/>
          <w:tab w:val="left" w:pos="6804"/>
        </w:tabs>
        <w:spacing w:after="200" w:line="240" w:lineRule="auto"/>
        <w:ind w:left="284" w:hanging="284"/>
        <w:rPr>
          <w:rFonts w:ascii="Cambria" w:hAnsi="Cambria"/>
          <w:i/>
          <w:sz w:val="20"/>
          <w:szCs w:val="20"/>
        </w:rPr>
      </w:pPr>
      <w:r w:rsidRPr="00386BC6">
        <w:rPr>
          <w:rFonts w:ascii="Cambria" w:hAnsi="Cambria"/>
          <w:b/>
          <w:sz w:val="20"/>
          <w:szCs w:val="20"/>
        </w:rPr>
        <w:t>Arbeitshygiene:</w:t>
      </w:r>
    </w:p>
    <w:p w14:paraId="41316E42" w14:textId="77777777" w:rsidR="0067573A" w:rsidRPr="0067573A" w:rsidRDefault="00386BC6" w:rsidP="00067D20">
      <w:pPr>
        <w:pStyle w:val="Listenabsatz"/>
        <w:numPr>
          <w:ilvl w:val="1"/>
          <w:numId w:val="4"/>
        </w:numPr>
        <w:tabs>
          <w:tab w:val="left" w:pos="6804"/>
        </w:tabs>
        <w:spacing w:after="200" w:line="240" w:lineRule="auto"/>
        <w:ind w:left="709" w:hanging="283"/>
        <w:rPr>
          <w:rFonts w:ascii="Cambria" w:hAnsi="Cambria"/>
          <w:i/>
          <w:sz w:val="20"/>
          <w:szCs w:val="20"/>
        </w:rPr>
      </w:pPr>
      <w:r w:rsidRPr="00386BC6">
        <w:rPr>
          <w:rFonts w:ascii="Cambria" w:hAnsi="Cambria"/>
          <w:sz w:val="20"/>
          <w:szCs w:val="20"/>
        </w:rPr>
        <w:t>bei Hautkontakt: betroffene Hautstellen sofort mit viel Wasser und einem Hautreinigungsmittel reinigen</w:t>
      </w:r>
    </w:p>
    <w:p w14:paraId="00ED064E" w14:textId="77777777" w:rsidR="0067573A" w:rsidRPr="0067573A" w:rsidRDefault="00386BC6" w:rsidP="00067D20">
      <w:pPr>
        <w:pStyle w:val="Listenabsatz"/>
        <w:numPr>
          <w:ilvl w:val="1"/>
          <w:numId w:val="4"/>
        </w:numPr>
        <w:tabs>
          <w:tab w:val="left" w:pos="6804"/>
        </w:tabs>
        <w:spacing w:after="200" w:line="240" w:lineRule="auto"/>
        <w:ind w:left="709" w:hanging="283"/>
        <w:rPr>
          <w:rFonts w:ascii="Cambria" w:hAnsi="Cambria"/>
          <w:i/>
          <w:sz w:val="20"/>
          <w:szCs w:val="20"/>
        </w:rPr>
      </w:pPr>
      <w:r w:rsidRPr="0067573A">
        <w:rPr>
          <w:rFonts w:ascii="Cambria" w:hAnsi="Cambria"/>
          <w:sz w:val="20"/>
          <w:szCs w:val="20"/>
        </w:rPr>
        <w:t>nach der Verarbeitung von Epoxidharzen: Hände waschen</w:t>
      </w:r>
    </w:p>
    <w:p w14:paraId="0E7D8CBA" w14:textId="77777777" w:rsidR="0067573A" w:rsidRPr="0067573A" w:rsidRDefault="00386BC6" w:rsidP="00067D20">
      <w:pPr>
        <w:pStyle w:val="Listenabsatz"/>
        <w:numPr>
          <w:ilvl w:val="1"/>
          <w:numId w:val="4"/>
        </w:numPr>
        <w:tabs>
          <w:tab w:val="left" w:pos="6804"/>
        </w:tabs>
        <w:spacing w:after="200" w:line="240" w:lineRule="auto"/>
        <w:ind w:left="709" w:hanging="283"/>
        <w:rPr>
          <w:rFonts w:ascii="Cambria" w:hAnsi="Cambria"/>
          <w:i/>
          <w:sz w:val="20"/>
          <w:szCs w:val="20"/>
        </w:rPr>
      </w:pPr>
      <w:r w:rsidRPr="0067573A">
        <w:rPr>
          <w:rFonts w:ascii="Cambria" w:hAnsi="Cambria"/>
          <w:sz w:val="20"/>
          <w:szCs w:val="20"/>
        </w:rPr>
        <w:t>verunreinigte Kleidung sofort wechseln</w:t>
      </w:r>
    </w:p>
    <w:p w14:paraId="4E098DE9" w14:textId="77777777" w:rsidR="0067573A" w:rsidRPr="0067573A" w:rsidRDefault="00386BC6" w:rsidP="00067D20">
      <w:pPr>
        <w:pStyle w:val="Listenabsatz"/>
        <w:numPr>
          <w:ilvl w:val="1"/>
          <w:numId w:val="4"/>
        </w:numPr>
        <w:tabs>
          <w:tab w:val="left" w:pos="6804"/>
        </w:tabs>
        <w:spacing w:after="200" w:line="240" w:lineRule="auto"/>
        <w:ind w:left="709" w:hanging="283"/>
        <w:rPr>
          <w:rFonts w:ascii="Cambria" w:hAnsi="Cambria"/>
          <w:i/>
          <w:sz w:val="20"/>
          <w:szCs w:val="20"/>
        </w:rPr>
      </w:pPr>
      <w:r w:rsidRPr="0067573A">
        <w:rPr>
          <w:rFonts w:ascii="Cambria" w:hAnsi="Cambria"/>
          <w:sz w:val="20"/>
          <w:szCs w:val="20"/>
        </w:rPr>
        <w:t>im Arbeitsbereich nicht essen, trinken oder rauchen</w:t>
      </w:r>
    </w:p>
    <w:p w14:paraId="0DD474D4" w14:textId="77777777" w:rsidR="0067573A" w:rsidRPr="0067573A" w:rsidRDefault="00386BC6" w:rsidP="00067D20">
      <w:pPr>
        <w:pStyle w:val="Listenabsatz"/>
        <w:numPr>
          <w:ilvl w:val="1"/>
          <w:numId w:val="4"/>
        </w:numPr>
        <w:tabs>
          <w:tab w:val="left" w:pos="6804"/>
        </w:tabs>
        <w:spacing w:after="200" w:line="240" w:lineRule="auto"/>
        <w:ind w:left="709" w:hanging="283"/>
        <w:rPr>
          <w:rFonts w:ascii="Cambria" w:hAnsi="Cambria"/>
          <w:i/>
          <w:sz w:val="20"/>
          <w:szCs w:val="20"/>
        </w:rPr>
      </w:pPr>
      <w:r w:rsidRPr="0067573A">
        <w:rPr>
          <w:rFonts w:ascii="Cambria" w:hAnsi="Cambria"/>
          <w:sz w:val="20"/>
          <w:szCs w:val="20"/>
        </w:rPr>
        <w:t>Epoxidharze von Pausenräumen fernhalten</w:t>
      </w:r>
    </w:p>
    <w:p w14:paraId="6714C6BA" w14:textId="1251B344" w:rsidR="00386BC6" w:rsidRPr="007F14BB" w:rsidRDefault="00386BC6" w:rsidP="00067D20">
      <w:pPr>
        <w:pStyle w:val="Listenabsatz"/>
        <w:numPr>
          <w:ilvl w:val="1"/>
          <w:numId w:val="4"/>
        </w:numPr>
        <w:tabs>
          <w:tab w:val="left" w:pos="6804"/>
        </w:tabs>
        <w:spacing w:after="200" w:line="240" w:lineRule="auto"/>
        <w:ind w:left="709" w:hanging="283"/>
        <w:rPr>
          <w:rFonts w:ascii="Cambria" w:hAnsi="Cambria"/>
          <w:i/>
          <w:sz w:val="20"/>
          <w:szCs w:val="20"/>
        </w:rPr>
      </w:pPr>
      <w:r w:rsidRPr="0067573A">
        <w:rPr>
          <w:rFonts w:ascii="Cambria" w:hAnsi="Cambria"/>
          <w:sz w:val="20"/>
          <w:szCs w:val="20"/>
        </w:rPr>
        <w:t>am Ende des Arbeitstages: duschen (möglichst am Arbeitsplatz) und die Kleidung wechseln</w:t>
      </w:r>
    </w:p>
    <w:p w14:paraId="09E08BF9" w14:textId="77777777" w:rsidR="00067D20" w:rsidRDefault="00067D20" w:rsidP="00883359">
      <w:pPr>
        <w:tabs>
          <w:tab w:val="left" w:pos="851"/>
          <w:tab w:val="left" w:pos="1418"/>
          <w:tab w:val="left" w:pos="6804"/>
        </w:tabs>
        <w:rPr>
          <w:i/>
          <w:color w:val="75A9A4"/>
          <w:szCs w:val="20"/>
        </w:rPr>
      </w:pPr>
    </w:p>
    <w:p w14:paraId="48463BEE" w14:textId="77777777" w:rsidR="007F14BB" w:rsidRPr="007F14BB" w:rsidRDefault="007F14BB" w:rsidP="00883359">
      <w:pPr>
        <w:tabs>
          <w:tab w:val="left" w:pos="851"/>
          <w:tab w:val="left" w:pos="1418"/>
          <w:tab w:val="left" w:pos="6804"/>
        </w:tabs>
        <w:rPr>
          <w:i/>
          <w:color w:val="75A9A4"/>
          <w:szCs w:val="20"/>
        </w:rPr>
      </w:pPr>
      <w:r w:rsidRPr="007F14BB">
        <w:rPr>
          <w:i/>
          <w:color w:val="75A9A4"/>
          <w:szCs w:val="20"/>
        </w:rPr>
        <w:t xml:space="preserve">Verschiedene Studien deuten darauf hin, dass neben der konsequenten Nutzung von Schutzhandschuhen insbesondere das Duschen nach der Arbeit (möglichst noch am Arbeitsplatz) sowie das Wechseln der Kleidung wesentliche Faktoren sind, die zur Vermeidung einer Epoxidharz-Allergie beitragen können. </w:t>
      </w:r>
    </w:p>
    <w:p w14:paraId="4975F014" w14:textId="77777777" w:rsidR="007F14BB" w:rsidRPr="007F14BB" w:rsidRDefault="007F14BB" w:rsidP="00883359">
      <w:pPr>
        <w:tabs>
          <w:tab w:val="left" w:pos="851"/>
          <w:tab w:val="left" w:pos="1418"/>
          <w:tab w:val="left" w:pos="6804"/>
        </w:tabs>
        <w:rPr>
          <w:i/>
          <w:color w:val="75A9A4"/>
          <w:szCs w:val="20"/>
        </w:rPr>
      </w:pPr>
      <w:r w:rsidRPr="007F14BB">
        <w:rPr>
          <w:i/>
          <w:color w:val="75A9A4"/>
          <w:szCs w:val="20"/>
        </w:rPr>
        <w:t>Einen Überblick über Schutzmaßnahmen und Risikofaktoren gibt der INQA-Arbeitskreis Epoxidbewertung in einer Pressemitteilung:</w:t>
      </w:r>
    </w:p>
    <w:p w14:paraId="36C79E0A" w14:textId="4C880834" w:rsidR="00DA692B" w:rsidRPr="007F14BB" w:rsidRDefault="00EE64A9" w:rsidP="00883359">
      <w:pPr>
        <w:tabs>
          <w:tab w:val="left" w:pos="851"/>
          <w:tab w:val="left" w:pos="1418"/>
          <w:tab w:val="left" w:pos="6804"/>
        </w:tabs>
        <w:rPr>
          <w:i/>
          <w:color w:val="75A9A4"/>
          <w:szCs w:val="20"/>
          <w:u w:val="single"/>
        </w:rPr>
      </w:pPr>
      <w:hyperlink r:id="rId15" w:history="1">
        <w:r w:rsidR="007F14BB" w:rsidRPr="007F14BB">
          <w:rPr>
            <w:i/>
            <w:color w:val="75A9A4"/>
            <w:szCs w:val="20"/>
            <w:u w:val="single"/>
          </w:rPr>
          <w:t>http://www.bgbau.de/gisbau/fachthemen/epoxi/downloads/ARBOUWBGBAUEpoxiBekanntgabeInternet.pdf</w:t>
        </w:r>
      </w:hyperlink>
    </w:p>
    <w:sectPr w:rsidR="00DA692B" w:rsidRPr="007F14BB" w:rsidSect="00C07C4B">
      <w:type w:val="continuous"/>
      <w:pgSz w:w="11900" w:h="16840"/>
      <w:pgMar w:top="1134" w:right="1418" w:bottom="1134" w:left="1134" w:header="1134" w:footer="510" w:gutter="0"/>
      <w:cols w:num="2" w:space="708"/>
      <w:titlePg/>
      <w:docGrid w:linePitch="360"/>
      <w15:footnoteColumns w:val="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1C2C943" w14:textId="77777777" w:rsidR="00FB2797" w:rsidRDefault="00FB2797" w:rsidP="00F46957">
      <w:pPr>
        <w:spacing w:after="0"/>
      </w:pPr>
      <w:r>
        <w:separator/>
      </w:r>
    </w:p>
  </w:endnote>
  <w:endnote w:type="continuationSeparator" w:id="0">
    <w:p w14:paraId="19C05E60" w14:textId="77777777" w:rsidR="00FB2797" w:rsidRDefault="00FB2797" w:rsidP="00F4695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altName w:val="Cambria"/>
    <w:panose1 w:val="02040503050406030204"/>
    <w:charset w:val="00"/>
    <w:family w:val="roman"/>
    <w:pitch w:val="variable"/>
    <w:sig w:usb0="E00002FF" w:usb1="400004FF"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A8F9BD" w14:textId="77777777" w:rsidR="008C5219" w:rsidRDefault="008C5219">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A7D863" w14:textId="77777777" w:rsidR="004F2188" w:rsidRDefault="004F2188" w:rsidP="004F2188">
    <w:pPr>
      <w:pStyle w:val="Fuzeile"/>
    </w:pPr>
  </w:p>
  <w:p w14:paraId="2D646D7D" w14:textId="0EBAD58C" w:rsidR="004F2188" w:rsidRDefault="004F2188" w:rsidP="004F2188">
    <w:pPr>
      <w:jc w:val="right"/>
    </w:pPr>
    <w:r w:rsidRPr="00D405CC">
      <w:rPr>
        <w:noProof/>
        <w:position w:val="-8"/>
        <w:lang w:eastAsia="de-DE"/>
      </w:rPr>
      <w:drawing>
        <wp:inline distT="0" distB="0" distL="0" distR="0" wp14:anchorId="315AA5A7" wp14:editId="7D91CB22">
          <wp:extent cx="860400" cy="176400"/>
          <wp:effectExtent l="0" t="0" r="3810" b="1905"/>
          <wp:docPr id="10" name="Bild 10" descr="Images/EpoxSafe@School-500p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s/EpoxSafe@School-500px.png"/>
                  <pic:cNvPicPr>
                    <a:picLocks noChangeAspect="1" noChangeArrowheads="1"/>
                  </pic:cNvPicPr>
                </pic:nvPicPr>
                <pic:blipFill rotWithShape="1">
                  <a:blip r:embed="rId1">
                    <a:extLst>
                      <a:ext uri="{28A0092B-C50C-407E-A947-70E740481C1C}">
                        <a14:useLocalDpi xmlns:a14="http://schemas.microsoft.com/office/drawing/2010/main" val="0"/>
                      </a:ext>
                    </a:extLst>
                  </a:blip>
                  <a:srcRect l="-3556" r="-3556"/>
                  <a:stretch/>
                </pic:blipFill>
                <pic:spPr bwMode="auto">
                  <a:xfrm>
                    <a:off x="0" y="0"/>
                    <a:ext cx="860400" cy="176400"/>
                  </a:xfrm>
                  <a:prstGeom prst="rect">
                    <a:avLst/>
                  </a:prstGeom>
                  <a:noFill/>
                  <a:ln>
                    <a:noFill/>
                  </a:ln>
                  <a:extLst>
                    <a:ext uri="{53640926-AAD7-44D8-BBD7-CCE9431645EC}">
                      <a14:shadowObscured xmlns:a14="http://schemas.microsoft.com/office/drawing/2010/main"/>
                    </a:ext>
                  </a:extLst>
                </pic:spPr>
              </pic:pic>
            </a:graphicData>
          </a:graphic>
        </wp:inline>
      </w:drawing>
    </w:r>
    <w:r w:rsidRPr="00D405CC">
      <w:rPr>
        <w:position w:val="-8"/>
      </w:rPr>
      <w:t xml:space="preserve"> </w:t>
    </w:r>
    <w:r>
      <w:rPr>
        <w:rStyle w:val="Buchtitel"/>
      </w:rPr>
      <w:t>| </w:t>
    </w:r>
    <w:bookmarkStart w:id="0" w:name="_GoBack"/>
    <w:r w:rsidR="00EE64A9" w:rsidRPr="00EE64A9">
      <w:rPr>
        <w:rStyle w:val="Buchtitel"/>
        <w:sz w:val="16"/>
        <w:szCs w:val="16"/>
      </w:rPr>
      <w:t>Arbeitssicherheit und Gesundheitsschutz beim Verarbeiten von Epoxidharzen</w:t>
    </w:r>
    <w:r w:rsidRPr="00EE64A9">
      <w:rPr>
        <w:sz w:val="16"/>
        <w:szCs w:val="16"/>
      </w:rPr>
      <w:t xml:space="preserve"> | Stand 04.06.2018 | Seite </w:t>
    </w:r>
    <w:r w:rsidRPr="00EE64A9">
      <w:rPr>
        <w:sz w:val="16"/>
        <w:szCs w:val="16"/>
      </w:rPr>
      <w:fldChar w:fldCharType="begin"/>
    </w:r>
    <w:r w:rsidRPr="00EE64A9">
      <w:rPr>
        <w:sz w:val="16"/>
        <w:szCs w:val="16"/>
      </w:rPr>
      <w:instrText xml:space="preserve"> PAGE  \* MERGEFORMAT </w:instrText>
    </w:r>
    <w:r w:rsidRPr="00EE64A9">
      <w:rPr>
        <w:sz w:val="16"/>
        <w:szCs w:val="16"/>
      </w:rPr>
      <w:fldChar w:fldCharType="separate"/>
    </w:r>
    <w:r w:rsidR="00EE64A9">
      <w:rPr>
        <w:noProof/>
        <w:sz w:val="16"/>
        <w:szCs w:val="16"/>
      </w:rPr>
      <w:t>2</w:t>
    </w:r>
    <w:r w:rsidRPr="00EE64A9">
      <w:rPr>
        <w:sz w:val="16"/>
        <w:szCs w:val="16"/>
      </w:rPr>
      <w:fldChar w:fldCharType="end"/>
    </w:r>
    <w:bookmarkEnd w:id="0"/>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B0E45E" w14:textId="7CF98658" w:rsidR="0042733E" w:rsidRDefault="0042733E">
    <w:pPr>
      <w:pStyle w:val="Fuzeile"/>
    </w:pPr>
  </w:p>
  <w:p w14:paraId="662417C6" w14:textId="61A8B85B" w:rsidR="0042733E" w:rsidRPr="008E294D" w:rsidRDefault="00166D34" w:rsidP="00D405CC">
    <w:pPr>
      <w:jc w:val="right"/>
      <w:rPr>
        <w:sz w:val="16"/>
      </w:rPr>
    </w:pPr>
    <w:r w:rsidRPr="008E294D">
      <w:rPr>
        <w:noProof/>
        <w:position w:val="-8"/>
        <w:sz w:val="16"/>
        <w:lang w:eastAsia="de-DE"/>
      </w:rPr>
      <w:drawing>
        <wp:inline distT="0" distB="0" distL="0" distR="0" wp14:anchorId="52B27EA1" wp14:editId="486AAAE8">
          <wp:extent cx="860400" cy="176400"/>
          <wp:effectExtent l="0" t="0" r="3810" b="1905"/>
          <wp:docPr id="9" name="Bild 9" descr="Images/EpoxSafe@School-500p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s/EpoxSafe@School-500px.png"/>
                  <pic:cNvPicPr>
                    <a:picLocks noChangeAspect="1" noChangeArrowheads="1"/>
                  </pic:cNvPicPr>
                </pic:nvPicPr>
                <pic:blipFill rotWithShape="1">
                  <a:blip r:embed="rId1">
                    <a:extLst>
                      <a:ext uri="{28A0092B-C50C-407E-A947-70E740481C1C}">
                        <a14:useLocalDpi xmlns:a14="http://schemas.microsoft.com/office/drawing/2010/main" val="0"/>
                      </a:ext>
                    </a:extLst>
                  </a:blip>
                  <a:srcRect l="-3556" r="-3556"/>
                  <a:stretch/>
                </pic:blipFill>
                <pic:spPr bwMode="auto">
                  <a:xfrm>
                    <a:off x="0" y="0"/>
                    <a:ext cx="860400" cy="176400"/>
                  </a:xfrm>
                  <a:prstGeom prst="rect">
                    <a:avLst/>
                  </a:prstGeom>
                  <a:noFill/>
                  <a:ln>
                    <a:noFill/>
                  </a:ln>
                  <a:extLst>
                    <a:ext uri="{53640926-AAD7-44D8-BBD7-CCE9431645EC}">
                      <a14:shadowObscured xmlns:a14="http://schemas.microsoft.com/office/drawing/2010/main"/>
                    </a:ext>
                  </a:extLst>
                </pic:spPr>
              </pic:pic>
            </a:graphicData>
          </a:graphic>
        </wp:inline>
      </w:drawing>
    </w:r>
    <w:r w:rsidRPr="008E294D">
      <w:rPr>
        <w:position w:val="-8"/>
        <w:sz w:val="16"/>
      </w:rPr>
      <w:t xml:space="preserve"> </w:t>
    </w:r>
    <w:r w:rsidR="00D405CC" w:rsidRPr="008E294D">
      <w:rPr>
        <w:rStyle w:val="Buchtitel"/>
        <w:sz w:val="16"/>
      </w:rPr>
      <w:t>| </w:t>
    </w:r>
    <w:r w:rsidR="008E294D" w:rsidRPr="008E294D">
      <w:rPr>
        <w:rStyle w:val="Buchtitel"/>
        <w:sz w:val="16"/>
      </w:rPr>
      <w:t>Arbeitssicherheit und Gesundheitsschutz beim Verarbeiten von Epoxidharzen</w:t>
    </w:r>
    <w:r w:rsidR="004F2188" w:rsidRPr="008E294D">
      <w:rPr>
        <w:sz w:val="16"/>
      </w:rPr>
      <w:t>|</w:t>
    </w:r>
    <w:r w:rsidRPr="008E294D">
      <w:rPr>
        <w:sz w:val="16"/>
      </w:rPr>
      <w:t xml:space="preserve"> Stand 04.06.2018 | </w:t>
    </w:r>
    <w:r w:rsidR="004F2188" w:rsidRPr="008E294D">
      <w:rPr>
        <w:sz w:val="16"/>
      </w:rPr>
      <w:t xml:space="preserve">Seite </w:t>
    </w:r>
    <w:r w:rsidR="004F2188" w:rsidRPr="008E294D">
      <w:rPr>
        <w:sz w:val="16"/>
      </w:rPr>
      <w:fldChar w:fldCharType="begin"/>
    </w:r>
    <w:r w:rsidR="004F2188" w:rsidRPr="008E294D">
      <w:rPr>
        <w:sz w:val="16"/>
      </w:rPr>
      <w:instrText xml:space="preserve"> PAGE  \* MERGEFORMAT </w:instrText>
    </w:r>
    <w:r w:rsidR="004F2188" w:rsidRPr="008E294D">
      <w:rPr>
        <w:sz w:val="16"/>
      </w:rPr>
      <w:fldChar w:fldCharType="separate"/>
    </w:r>
    <w:r w:rsidR="00EE64A9">
      <w:rPr>
        <w:noProof/>
        <w:sz w:val="16"/>
      </w:rPr>
      <w:t>1</w:t>
    </w:r>
    <w:r w:rsidR="004F2188" w:rsidRPr="008E294D">
      <w:rPr>
        <w:sz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7745D42" w14:textId="77777777" w:rsidR="00FB2797" w:rsidRDefault="00FB2797" w:rsidP="00F46957">
      <w:pPr>
        <w:spacing w:after="0"/>
      </w:pPr>
      <w:r>
        <w:separator/>
      </w:r>
    </w:p>
  </w:footnote>
  <w:footnote w:type="continuationSeparator" w:id="0">
    <w:p w14:paraId="052A3824" w14:textId="77777777" w:rsidR="00FB2797" w:rsidRDefault="00FB2797" w:rsidP="00F46957">
      <w:pPr>
        <w:spacing w:after="0"/>
      </w:pPr>
      <w:r>
        <w:continuationSeparator/>
      </w:r>
    </w:p>
  </w:footnote>
  <w:footnote w:id="1">
    <w:p w14:paraId="0FD91E70" w14:textId="7195B03A" w:rsidR="00AF7C4D" w:rsidRPr="00AF7C4D" w:rsidRDefault="00AF7C4D" w:rsidP="00AF7C4D">
      <w:pPr>
        <w:pStyle w:val="Funotentext"/>
        <w:rPr>
          <w:rFonts w:ascii="Cambria" w:hAnsi="Cambria"/>
          <w:color w:val="75A9A4"/>
          <w:sz w:val="18"/>
          <w:szCs w:val="18"/>
        </w:rPr>
      </w:pPr>
      <w:r w:rsidRPr="00AF7C4D">
        <w:rPr>
          <w:rFonts w:ascii="Cambria" w:hAnsi="Cambria"/>
          <w:color w:val="75A9A4"/>
          <w:sz w:val="18"/>
          <w:szCs w:val="18"/>
        </w:rPr>
        <w:footnoteRef/>
      </w:r>
      <w:r w:rsidRPr="00AF7C4D">
        <w:rPr>
          <w:rFonts w:ascii="Cambria" w:hAnsi="Cambria"/>
          <w:color w:val="75A9A4"/>
          <w:sz w:val="18"/>
          <w:szCs w:val="18"/>
        </w:rPr>
        <w:t xml:space="preserve"> Gesetz über die Durchführung von Maßnahmen des Arbeitsschutzes zur Verbesserung der Sicherheit und des Gesundheitsschutzes der Beschäftigten bei der Arbeit (Arbeitsschutzgesetz - ArbSchG)</w:t>
      </w:r>
      <w:r w:rsidR="008C5219">
        <w:rPr>
          <w:rFonts w:ascii="Cambria" w:hAnsi="Cambria"/>
          <w:color w:val="75A9A4"/>
          <w:sz w:val="18"/>
          <w:szCs w:val="18"/>
        </w:rPr>
        <w:t>.</w:t>
      </w:r>
    </w:p>
    <w:p w14:paraId="3076FBA8" w14:textId="27A81AF1" w:rsidR="00AF7C4D" w:rsidRPr="00AF7C4D" w:rsidRDefault="00AF7C4D">
      <w:pPr>
        <w:pStyle w:val="Funotentext"/>
        <w:rPr>
          <w:sz w:val="18"/>
          <w:szCs w:val="18"/>
        </w:rPr>
      </w:pPr>
      <w:r w:rsidRPr="00AF7C4D">
        <w:rPr>
          <w:rFonts w:ascii="Cambria" w:hAnsi="Cambria"/>
          <w:color w:val="75A9A4"/>
          <w:sz w:val="18"/>
          <w:szCs w:val="18"/>
        </w:rPr>
        <w:t xml:space="preserve">Verfügbar unter: </w:t>
      </w:r>
      <w:hyperlink r:id="rId1" w:anchor="BJNR124610996BJNE000801377" w:history="1">
        <w:r w:rsidRPr="00AF7C4D">
          <w:rPr>
            <w:rFonts w:ascii="Cambria" w:hAnsi="Cambria"/>
            <w:color w:val="75A9A4"/>
            <w:sz w:val="18"/>
            <w:szCs w:val="18"/>
          </w:rPr>
          <w:t>https://www.gesetze-im-internet.de/arbschg/index.html#BJNR124610996BJNE000801377</w:t>
        </w:r>
      </w:hyperlink>
      <w:r w:rsidR="008C5219">
        <w:rPr>
          <w:rFonts w:ascii="Cambria" w:hAnsi="Cambria"/>
          <w:color w:val="75A9A4"/>
          <w:sz w:val="18"/>
          <w:szCs w:val="18"/>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CFFAB6" w14:textId="77777777" w:rsidR="008C5219" w:rsidRDefault="008C5219">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82430F" w14:textId="00B77ED0" w:rsidR="00F46957" w:rsidRDefault="00F46957">
    <w:pPr>
      <w:pStyle w:val="Kopfzeile"/>
    </w:pPr>
  </w:p>
  <w:p w14:paraId="16A47EC9" w14:textId="77777777" w:rsidR="00F46957" w:rsidRDefault="00F46957">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7739B7" w14:textId="77777777" w:rsidR="00F31D36" w:rsidRDefault="00F64690" w:rsidP="00F31D36">
    <w:pPr>
      <w:pStyle w:val="berschrift1"/>
      <w:tabs>
        <w:tab w:val="left" w:pos="8104"/>
        <w:tab w:val="right" w:pos="9348"/>
      </w:tabs>
    </w:pPr>
    <w:r>
      <w:rPr>
        <w:noProof/>
        <w:lang w:eastAsia="de-DE"/>
        <w14:ligatures w14:val="none"/>
      </w:rPr>
      <mc:AlternateContent>
        <mc:Choice Requires="wps">
          <w:drawing>
            <wp:anchor distT="0" distB="0" distL="114300" distR="114300" simplePos="0" relativeHeight="251664384" behindDoc="0" locked="0" layoutInCell="1" allowOverlap="1" wp14:anchorId="674C2059" wp14:editId="35334982">
              <wp:simplePos x="0" y="0"/>
              <wp:positionH relativeFrom="column">
                <wp:posOffset>5185491</wp:posOffset>
              </wp:positionH>
              <wp:positionV relativeFrom="paragraph">
                <wp:posOffset>-260350</wp:posOffset>
              </wp:positionV>
              <wp:extent cx="1143000" cy="459740"/>
              <wp:effectExtent l="0" t="0" r="0" b="0"/>
              <wp:wrapNone/>
              <wp:docPr id="8" name="Textfeld 8"/>
              <wp:cNvGraphicFramePr/>
              <a:graphic xmlns:a="http://schemas.openxmlformats.org/drawingml/2006/main">
                <a:graphicData uri="http://schemas.microsoft.com/office/word/2010/wordprocessingShape">
                  <wps:wsp>
                    <wps:cNvSpPr txBox="1"/>
                    <wps:spPr>
                      <a:xfrm>
                        <a:off x="0" y="0"/>
                        <a:ext cx="1143000" cy="45974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084F34CD" w14:textId="258E9258" w:rsidR="00F64690" w:rsidRDefault="002951F2" w:rsidP="00F64690">
                          <w:pPr>
                            <w:pStyle w:val="KeinLeerraum"/>
                            <w:jc w:val="right"/>
                          </w:pPr>
                          <w:r>
                            <w:t>B 3</w:t>
                          </w:r>
                          <w:r w:rsidR="00F64690">
                            <w:t>.1</w:t>
                          </w:r>
                          <w:r w:rsidR="008C5219">
                            <w:t>L</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674C2059" id="_x0000_t202" coordsize="21600,21600" o:spt="202" path="m,l,21600r21600,l21600,xe">
              <v:stroke joinstyle="miter"/>
              <v:path gradientshapeok="t" o:connecttype="rect"/>
            </v:shapetype>
            <v:shape id="Textfeld 8" o:spid="_x0000_s1026" type="#_x0000_t202" style="position:absolute;margin-left:408.3pt;margin-top:-20.5pt;width:90pt;height:36.2pt;z-index:2516643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" filled="f" stroked="f">
              <v:textbox>
                <w:txbxContent>
                  <w:p w14:paraId="084F34CD" w14:textId="258E9258" w:rsidR="00F64690" w:rsidRDefault="002951F2" w:rsidP="00F64690">
                    <w:pPr>
                      <w:pStyle w:val="KeinLeerraum"/>
                      <w:jc w:val="right"/>
                    </w:pPr>
                    <w:r>
                      <w:t>B 3</w:t>
                    </w:r>
                    <w:bookmarkStart w:id="1" w:name="_GoBack"/>
                    <w:bookmarkEnd w:id="1"/>
                    <w:r w:rsidR="00F64690">
                      <w:t>.1</w:t>
                    </w:r>
                    <w:r w:rsidR="008C5219">
                      <w:t>L</w:t>
                    </w:r>
                  </w:p>
                </w:txbxContent>
              </v:textbox>
            </v:shape>
          </w:pict>
        </mc:Fallback>
      </mc:AlternateContent>
    </w:r>
    <w:r>
      <w:rPr>
        <w:noProof/>
        <w:lang w:eastAsia="de-DE"/>
        <w14:ligatures w14:val="none"/>
      </w:rPr>
      <w:drawing>
        <wp:anchor distT="0" distB="0" distL="114300" distR="114300" simplePos="0" relativeHeight="251662336" behindDoc="1" locked="0" layoutInCell="1" allowOverlap="1" wp14:anchorId="53F73166" wp14:editId="3A46E1EF">
          <wp:simplePos x="0" y="0"/>
          <wp:positionH relativeFrom="column">
            <wp:posOffset>3981990</wp:posOffset>
          </wp:positionH>
          <wp:positionV relativeFrom="paragraph">
            <wp:posOffset>-490004</wp:posOffset>
          </wp:positionV>
          <wp:extent cx="2608580" cy="2059940"/>
          <wp:effectExtent l="0" t="0" r="7620" b="0"/>
          <wp:wrapNone/>
          <wp:docPr id="7" name="Bild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halbkreis.png"/>
                  <pic:cNvPicPr/>
                </pic:nvPicPr>
                <pic:blipFill>
                  <a:blip r:embed="rId1">
                    <a:extLst>
                      <a:ext uri="{28A0092B-C50C-407E-A947-70E740481C1C}">
                        <a14:useLocalDpi xmlns:a14="http://schemas.microsoft.com/office/drawing/2010/main" val="0"/>
                      </a:ext>
                    </a:extLst>
                  </a:blip>
                  <a:stretch>
                    <a:fillRect/>
                  </a:stretch>
                </pic:blipFill>
                <pic:spPr>
                  <a:xfrm>
                    <a:off x="0" y="0"/>
                    <a:ext cx="2608580" cy="2059940"/>
                  </a:xfrm>
                  <a:prstGeom prst="rect">
                    <a:avLst/>
                  </a:prstGeom>
                </pic:spPr>
              </pic:pic>
            </a:graphicData>
          </a:graphic>
          <wp14:sizeRelH relativeFrom="margin">
            <wp14:pctWidth>0</wp14:pctWidth>
          </wp14:sizeRelH>
          <wp14:sizeRelV relativeFrom="margin">
            <wp14:pctHeight>0</wp14:pctHeight>
          </wp14:sizeRelV>
        </wp:anchor>
      </w:drawing>
    </w:r>
    <w:r w:rsidR="00F31D36">
      <w:t xml:space="preserve">Arbeitssicherheit und </w:t>
    </w:r>
  </w:p>
  <w:p w14:paraId="2FD8EF22" w14:textId="77777777" w:rsidR="00F31D36" w:rsidRDefault="00F31D36" w:rsidP="00F31D36">
    <w:pPr>
      <w:pStyle w:val="berschrift1"/>
      <w:tabs>
        <w:tab w:val="left" w:pos="8104"/>
        <w:tab w:val="right" w:pos="9348"/>
      </w:tabs>
    </w:pPr>
    <w:r>
      <w:t xml:space="preserve">Gesundheitsschutz beim </w:t>
    </w:r>
  </w:p>
  <w:p w14:paraId="65A846F0" w14:textId="305AC651" w:rsidR="00A33FFB" w:rsidRDefault="00F31D36" w:rsidP="00F31D36">
    <w:pPr>
      <w:pStyle w:val="berschrift1"/>
      <w:tabs>
        <w:tab w:val="left" w:pos="8104"/>
        <w:tab w:val="right" w:pos="9348"/>
      </w:tabs>
    </w:pPr>
    <w:r>
      <w:t>Verarbeiten von Epoxidharzen</w:t>
    </w:r>
    <w:r w:rsidR="00A00CEE">
      <w:rPr>
        <w:noProof/>
        <w:lang w:eastAsia="de-DE"/>
        <w14:ligatures w14:val="none"/>
      </w:rPr>
      <mc:AlternateContent>
        <mc:Choice Requires="wps">
          <w:drawing>
            <wp:anchor distT="0" distB="0" distL="114300" distR="114300" simplePos="0" relativeHeight="251663360" behindDoc="0" locked="0" layoutInCell="1" allowOverlap="1" wp14:anchorId="5FDDBFC4" wp14:editId="5619FFE4">
              <wp:simplePos x="0" y="0"/>
              <wp:positionH relativeFrom="column">
                <wp:posOffset>4106342</wp:posOffset>
              </wp:positionH>
              <wp:positionV relativeFrom="paragraph">
                <wp:posOffset>2769978</wp:posOffset>
              </wp:positionV>
              <wp:extent cx="702107" cy="571608"/>
              <wp:effectExtent l="0" t="0" r="0" b="12700"/>
              <wp:wrapNone/>
              <wp:docPr id="5" name="Textfeld 5"/>
              <wp:cNvGraphicFramePr/>
              <a:graphic xmlns:a="http://schemas.openxmlformats.org/drawingml/2006/main">
                <a:graphicData uri="http://schemas.microsoft.com/office/word/2010/wordprocessingShape">
                  <wps:wsp>
                    <wps:cNvSpPr txBox="1"/>
                    <wps:spPr>
                      <a:xfrm>
                        <a:off x="0" y="0"/>
                        <a:ext cx="702107" cy="571608"/>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33080E11" w14:textId="77777777" w:rsidR="00A00CEE" w:rsidRDefault="00A00CE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FDDBFC4" id="Textfeld 5" o:spid="_x0000_s1027" type="#_x0000_t202" style="position:absolute;margin-left:323.35pt;margin-top:218.1pt;width:55.3pt;height:4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" filled="f" stroked="f">
              <v:textbox>
                <w:txbxContent>
                  <w:p w14:paraId="33080E11" w14:textId="77777777" w:rsidR="00A00CEE" w:rsidRDefault="00A00CEE"/>
                </w:txbxContent>
              </v:textbox>
            </v:shape>
          </w:pict>
        </mc:Fallback>
      </mc:AlternateContent>
    </w:r>
    <w:r w:rsidR="00A00CEE">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FA55FE7"/>
    <w:multiLevelType w:val="hybridMultilevel"/>
    <w:tmpl w:val="B3E4D958"/>
    <w:lvl w:ilvl="0" w:tplc="68E0D80C">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8E76226"/>
    <w:multiLevelType w:val="hybridMultilevel"/>
    <w:tmpl w:val="20A6D48A"/>
    <w:lvl w:ilvl="0" w:tplc="68E0D80C">
      <w:numFmt w:val="bullet"/>
      <w:lvlText w:val=""/>
      <w:lvlJc w:val="left"/>
      <w:pPr>
        <w:ind w:left="720" w:hanging="360"/>
      </w:pPr>
      <w:rPr>
        <w:rFonts w:ascii="Wingdings" w:eastAsiaTheme="minorHAnsi" w:hAnsi="Wingdings" w:cstheme="minorBidi"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29FD0F6D"/>
    <w:multiLevelType w:val="hybridMultilevel"/>
    <w:tmpl w:val="EF923B84"/>
    <w:lvl w:ilvl="0" w:tplc="68E0D80C">
      <w:numFmt w:val="bullet"/>
      <w:lvlText w:val=""/>
      <w:lvlJc w:val="left"/>
      <w:pPr>
        <w:ind w:left="720" w:hanging="360"/>
      </w:pPr>
      <w:rPr>
        <w:rFonts w:ascii="Wingdings" w:eastAsiaTheme="minorHAnsi" w:hAnsi="Wingdings" w:cstheme="minorBidi"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72736EC7"/>
    <w:multiLevelType w:val="hybridMultilevel"/>
    <w:tmpl w:val="105CFB78"/>
    <w:lvl w:ilvl="0" w:tplc="68E0D80C">
      <w:numFmt w:val="bullet"/>
      <w:lvlText w:val=""/>
      <w:lvlJc w:val="left"/>
      <w:pPr>
        <w:ind w:left="720" w:hanging="360"/>
      </w:pPr>
      <w:rPr>
        <w:rFonts w:ascii="Wingdings" w:eastAsiaTheme="minorHAnsi" w:hAnsi="Wingdings" w:cstheme="minorBidi"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autoHyphenation/>
  <w:hyphenationZone w:val="425"/>
  <w:drawingGridHorizontalSpacing w:val="100"/>
  <w:displayHorizontalDrawingGridEvery w:val="2"/>
  <w:displayVerticalDrawingGridEvery w:val="2"/>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7B81"/>
    <w:rsid w:val="00067D20"/>
    <w:rsid w:val="00096488"/>
    <w:rsid w:val="00166D34"/>
    <w:rsid w:val="001C3538"/>
    <w:rsid w:val="001F3A8E"/>
    <w:rsid w:val="0026366A"/>
    <w:rsid w:val="002951F2"/>
    <w:rsid w:val="00386BC6"/>
    <w:rsid w:val="0042733E"/>
    <w:rsid w:val="00457B81"/>
    <w:rsid w:val="004E7EA0"/>
    <w:rsid w:val="004F2188"/>
    <w:rsid w:val="005741C8"/>
    <w:rsid w:val="0063678F"/>
    <w:rsid w:val="0067573A"/>
    <w:rsid w:val="007208A5"/>
    <w:rsid w:val="007332D4"/>
    <w:rsid w:val="00752635"/>
    <w:rsid w:val="007C7850"/>
    <w:rsid w:val="007F14BB"/>
    <w:rsid w:val="00883359"/>
    <w:rsid w:val="008B2588"/>
    <w:rsid w:val="008C5219"/>
    <w:rsid w:val="008E294D"/>
    <w:rsid w:val="009F756E"/>
    <w:rsid w:val="00A00CEE"/>
    <w:rsid w:val="00A33FFB"/>
    <w:rsid w:val="00A45302"/>
    <w:rsid w:val="00A53073"/>
    <w:rsid w:val="00AC223B"/>
    <w:rsid w:val="00AF7C4D"/>
    <w:rsid w:val="00C07C4B"/>
    <w:rsid w:val="00C130DF"/>
    <w:rsid w:val="00C9085C"/>
    <w:rsid w:val="00CA747F"/>
    <w:rsid w:val="00CE5594"/>
    <w:rsid w:val="00D07A29"/>
    <w:rsid w:val="00D405CC"/>
    <w:rsid w:val="00DA692B"/>
    <w:rsid w:val="00E15992"/>
    <w:rsid w:val="00EA5ACD"/>
    <w:rsid w:val="00ED2B8B"/>
    <w:rsid w:val="00EE64A9"/>
    <w:rsid w:val="00EF0742"/>
    <w:rsid w:val="00F31D36"/>
    <w:rsid w:val="00F46957"/>
    <w:rsid w:val="00F64690"/>
    <w:rsid w:val="00FB279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0763950B"/>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A00CEE"/>
    <w:pPr>
      <w:spacing w:after="200"/>
    </w:pPr>
    <w:rPr>
      <w:rFonts w:ascii="Cambria" w:hAnsi="Cambria"/>
      <w:sz w:val="20"/>
    </w:rPr>
  </w:style>
  <w:style w:type="paragraph" w:styleId="berschrift1">
    <w:name w:val="heading 1"/>
    <w:basedOn w:val="Standard"/>
    <w:next w:val="Standard"/>
    <w:link w:val="berschrift1Zchn"/>
    <w:uiPriority w:val="9"/>
    <w:qFormat/>
    <w:rsid w:val="00A00CEE"/>
    <w:pPr>
      <w:keepNext/>
      <w:keepLines/>
      <w:spacing w:after="1200" w:line="216" w:lineRule="auto"/>
      <w:contextualSpacing/>
      <w:outlineLvl w:val="0"/>
    </w:pPr>
    <w:rPr>
      <w:rFonts w:ascii="Arial Narrow" w:eastAsiaTheme="majorEastAsia" w:hAnsi="Arial Narrow" w:cstheme="majorBidi"/>
      <w:color w:val="72A7A4"/>
      <w:sz w:val="74"/>
      <w:szCs w:val="74"/>
      <w14:ligatures w14:val="standard"/>
    </w:rPr>
  </w:style>
  <w:style w:type="paragraph" w:styleId="berschrift2">
    <w:name w:val="heading 2"/>
    <w:basedOn w:val="Standard"/>
    <w:next w:val="Standard"/>
    <w:link w:val="berschrift2Zchn"/>
    <w:uiPriority w:val="9"/>
    <w:unhideWhenUsed/>
    <w:qFormat/>
    <w:rsid w:val="00A33FFB"/>
    <w:pPr>
      <w:keepNext/>
      <w:keepLines/>
      <w:spacing w:before="40" w:after="240"/>
      <w:contextualSpacing/>
      <w:outlineLvl w:val="1"/>
    </w:pPr>
    <w:rPr>
      <w:rFonts w:asciiTheme="majorHAnsi" w:eastAsiaTheme="majorEastAsia" w:hAnsiTheme="majorHAnsi" w:cstheme="majorBidi"/>
      <w:b/>
      <w:color w:val="72A7A4"/>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A00CEE"/>
    <w:rPr>
      <w:rFonts w:ascii="Arial Narrow" w:eastAsiaTheme="majorEastAsia" w:hAnsi="Arial Narrow" w:cstheme="majorBidi"/>
      <w:color w:val="72A7A4"/>
      <w:sz w:val="74"/>
      <w:szCs w:val="74"/>
      <w14:ligatures w14:val="standard"/>
    </w:rPr>
  </w:style>
  <w:style w:type="character" w:customStyle="1" w:styleId="berschrift2Zchn">
    <w:name w:val="Überschrift 2 Zchn"/>
    <w:basedOn w:val="Absatz-Standardschriftart"/>
    <w:link w:val="berschrift2"/>
    <w:uiPriority w:val="9"/>
    <w:rsid w:val="00A33FFB"/>
    <w:rPr>
      <w:rFonts w:asciiTheme="majorHAnsi" w:eastAsiaTheme="majorEastAsia" w:hAnsiTheme="majorHAnsi" w:cstheme="majorBidi"/>
      <w:b/>
      <w:color w:val="72A7A4"/>
      <w:sz w:val="26"/>
      <w:szCs w:val="26"/>
    </w:rPr>
  </w:style>
  <w:style w:type="paragraph" w:styleId="Kopfzeile">
    <w:name w:val="header"/>
    <w:basedOn w:val="Standard"/>
    <w:link w:val="KopfzeileZchn"/>
    <w:uiPriority w:val="99"/>
    <w:unhideWhenUsed/>
    <w:rsid w:val="00F46957"/>
    <w:pPr>
      <w:tabs>
        <w:tab w:val="center" w:pos="4536"/>
        <w:tab w:val="right" w:pos="9072"/>
      </w:tabs>
    </w:pPr>
  </w:style>
  <w:style w:type="character" w:customStyle="1" w:styleId="KopfzeileZchn">
    <w:name w:val="Kopfzeile Zchn"/>
    <w:basedOn w:val="Absatz-Standardschriftart"/>
    <w:link w:val="Kopfzeile"/>
    <w:uiPriority w:val="99"/>
    <w:rsid w:val="00F46957"/>
    <w:rPr>
      <w:rFonts w:ascii="Cambria" w:hAnsi="Cambria"/>
      <w:sz w:val="20"/>
    </w:rPr>
  </w:style>
  <w:style w:type="paragraph" w:styleId="Fuzeile">
    <w:name w:val="footer"/>
    <w:basedOn w:val="Standard"/>
    <w:link w:val="FuzeileZchn"/>
    <w:uiPriority w:val="99"/>
    <w:unhideWhenUsed/>
    <w:rsid w:val="00F46957"/>
    <w:pPr>
      <w:tabs>
        <w:tab w:val="center" w:pos="4536"/>
        <w:tab w:val="right" w:pos="9072"/>
      </w:tabs>
    </w:pPr>
  </w:style>
  <w:style w:type="character" w:customStyle="1" w:styleId="FuzeileZchn">
    <w:name w:val="Fußzeile Zchn"/>
    <w:basedOn w:val="Absatz-Standardschriftart"/>
    <w:link w:val="Fuzeile"/>
    <w:uiPriority w:val="99"/>
    <w:rsid w:val="00F46957"/>
    <w:rPr>
      <w:rFonts w:ascii="Cambria" w:hAnsi="Cambria"/>
      <w:sz w:val="20"/>
    </w:rPr>
  </w:style>
  <w:style w:type="paragraph" w:styleId="KeinLeerraum">
    <w:name w:val="No Spacing"/>
    <w:aliases w:val="Bezeichnung Kopfzeile"/>
    <w:uiPriority w:val="1"/>
    <w:qFormat/>
    <w:rsid w:val="0042733E"/>
    <w:rPr>
      <w:rFonts w:ascii="Arial Narrow" w:hAnsi="Arial Narrow"/>
      <w:color w:val="CDDBDA"/>
      <w:sz w:val="52"/>
    </w:rPr>
  </w:style>
  <w:style w:type="character" w:styleId="Buchtitel">
    <w:name w:val="Book Title"/>
    <w:aliases w:val="Fußnote"/>
    <w:basedOn w:val="Absatz-Standardschriftart"/>
    <w:uiPriority w:val="33"/>
    <w:rsid w:val="00C130DF"/>
    <w:rPr>
      <w:bCs/>
      <w:iCs/>
      <w:spacing w:val="5"/>
    </w:rPr>
  </w:style>
  <w:style w:type="paragraph" w:styleId="Untertitel">
    <w:name w:val="Subtitle"/>
    <w:basedOn w:val="Standard"/>
    <w:next w:val="Standard"/>
    <w:link w:val="UntertitelZchn"/>
    <w:uiPriority w:val="11"/>
    <w:rsid w:val="00C130DF"/>
    <w:pPr>
      <w:numPr>
        <w:ilvl w:val="1"/>
      </w:numPr>
      <w:spacing w:after="160"/>
    </w:pPr>
    <w:rPr>
      <w:rFonts w:asciiTheme="minorHAnsi" w:eastAsiaTheme="minorEastAsia" w:hAnsiTheme="minorHAnsi"/>
      <w:color w:val="5A5A5A" w:themeColor="text1" w:themeTint="A5"/>
      <w:spacing w:val="15"/>
      <w:sz w:val="22"/>
      <w:szCs w:val="22"/>
    </w:rPr>
  </w:style>
  <w:style w:type="character" w:customStyle="1" w:styleId="UntertitelZchn">
    <w:name w:val="Untertitel Zchn"/>
    <w:basedOn w:val="Absatz-Standardschriftart"/>
    <w:link w:val="Untertitel"/>
    <w:uiPriority w:val="11"/>
    <w:rsid w:val="00C130DF"/>
    <w:rPr>
      <w:rFonts w:eastAsiaTheme="minorEastAsia"/>
      <w:color w:val="5A5A5A" w:themeColor="text1" w:themeTint="A5"/>
      <w:spacing w:val="15"/>
      <w:sz w:val="22"/>
      <w:szCs w:val="22"/>
    </w:rPr>
  </w:style>
  <w:style w:type="character" w:styleId="Seitenzahl">
    <w:name w:val="page number"/>
    <w:basedOn w:val="Absatz-Standardschriftart"/>
    <w:uiPriority w:val="99"/>
    <w:semiHidden/>
    <w:unhideWhenUsed/>
    <w:rsid w:val="004F2188"/>
  </w:style>
  <w:style w:type="paragraph" w:styleId="Beschriftung">
    <w:name w:val="caption"/>
    <w:basedOn w:val="Standard"/>
    <w:next w:val="Standard"/>
    <w:uiPriority w:val="35"/>
    <w:unhideWhenUsed/>
    <w:qFormat/>
    <w:rsid w:val="004E7EA0"/>
    <w:rPr>
      <w:i/>
      <w:iCs/>
      <w:color w:val="44546A" w:themeColor="text2"/>
      <w:sz w:val="18"/>
      <w:szCs w:val="18"/>
    </w:rPr>
  </w:style>
  <w:style w:type="paragraph" w:customStyle="1" w:styleId="Infoboxberschrift">
    <w:name w:val="Infobox Überschrift"/>
    <w:basedOn w:val="Standard"/>
    <w:next w:val="InfoboxFlietext"/>
    <w:qFormat/>
    <w:rsid w:val="00EF0742"/>
    <w:pPr>
      <w:spacing w:after="120"/>
    </w:pPr>
    <w:rPr>
      <w:b/>
      <w:i/>
      <w:color w:val="75A9A4"/>
      <w:sz w:val="18"/>
      <w:szCs w:val="18"/>
    </w:rPr>
  </w:style>
  <w:style w:type="paragraph" w:customStyle="1" w:styleId="InfoboxFlietext">
    <w:name w:val="Infobox Fließtext"/>
    <w:basedOn w:val="Standard"/>
    <w:qFormat/>
    <w:rsid w:val="00EF0742"/>
    <w:rPr>
      <w:color w:val="75A9A4"/>
      <w:sz w:val="18"/>
    </w:rPr>
  </w:style>
  <w:style w:type="paragraph" w:styleId="Listenabsatz">
    <w:name w:val="List Paragraph"/>
    <w:basedOn w:val="Standard"/>
    <w:uiPriority w:val="34"/>
    <w:qFormat/>
    <w:rsid w:val="00386BC6"/>
    <w:pPr>
      <w:spacing w:after="160" w:line="259" w:lineRule="auto"/>
      <w:ind w:left="720"/>
      <w:contextualSpacing/>
    </w:pPr>
    <w:rPr>
      <w:rFonts w:asciiTheme="minorHAnsi" w:hAnsiTheme="minorHAnsi"/>
      <w:sz w:val="22"/>
      <w:szCs w:val="22"/>
    </w:rPr>
  </w:style>
  <w:style w:type="character" w:styleId="Kommentarzeichen">
    <w:name w:val="annotation reference"/>
    <w:basedOn w:val="Absatz-Standardschriftart"/>
    <w:uiPriority w:val="99"/>
    <w:semiHidden/>
    <w:unhideWhenUsed/>
    <w:rsid w:val="00386BC6"/>
    <w:rPr>
      <w:sz w:val="16"/>
      <w:szCs w:val="16"/>
    </w:rPr>
  </w:style>
  <w:style w:type="paragraph" w:styleId="Kommentartext">
    <w:name w:val="annotation text"/>
    <w:basedOn w:val="Standard"/>
    <w:link w:val="KommentartextZchn"/>
    <w:uiPriority w:val="99"/>
    <w:semiHidden/>
    <w:unhideWhenUsed/>
    <w:rsid w:val="00386BC6"/>
    <w:rPr>
      <w:szCs w:val="20"/>
    </w:rPr>
  </w:style>
  <w:style w:type="character" w:customStyle="1" w:styleId="KommentartextZchn">
    <w:name w:val="Kommentartext Zchn"/>
    <w:basedOn w:val="Absatz-Standardschriftart"/>
    <w:link w:val="Kommentartext"/>
    <w:uiPriority w:val="99"/>
    <w:semiHidden/>
    <w:rsid w:val="00386BC6"/>
    <w:rPr>
      <w:rFonts w:ascii="Cambria" w:hAnsi="Cambria"/>
      <w:sz w:val="20"/>
      <w:szCs w:val="20"/>
    </w:rPr>
  </w:style>
  <w:style w:type="paragraph" w:styleId="Kommentarthema">
    <w:name w:val="annotation subject"/>
    <w:basedOn w:val="Kommentartext"/>
    <w:next w:val="Kommentartext"/>
    <w:link w:val="KommentarthemaZchn"/>
    <w:uiPriority w:val="99"/>
    <w:semiHidden/>
    <w:unhideWhenUsed/>
    <w:rsid w:val="00386BC6"/>
    <w:rPr>
      <w:b/>
      <w:bCs/>
    </w:rPr>
  </w:style>
  <w:style w:type="character" w:customStyle="1" w:styleId="KommentarthemaZchn">
    <w:name w:val="Kommentarthema Zchn"/>
    <w:basedOn w:val="KommentartextZchn"/>
    <w:link w:val="Kommentarthema"/>
    <w:uiPriority w:val="99"/>
    <w:semiHidden/>
    <w:rsid w:val="00386BC6"/>
    <w:rPr>
      <w:rFonts w:ascii="Cambria" w:hAnsi="Cambria"/>
      <w:b/>
      <w:bCs/>
      <w:sz w:val="20"/>
      <w:szCs w:val="20"/>
    </w:rPr>
  </w:style>
  <w:style w:type="paragraph" w:styleId="Sprechblasentext">
    <w:name w:val="Balloon Text"/>
    <w:basedOn w:val="Standard"/>
    <w:link w:val="SprechblasentextZchn"/>
    <w:uiPriority w:val="99"/>
    <w:semiHidden/>
    <w:unhideWhenUsed/>
    <w:rsid w:val="00386BC6"/>
    <w:pPr>
      <w:spacing w:after="0"/>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386BC6"/>
    <w:rPr>
      <w:rFonts w:ascii="Segoe UI" w:hAnsi="Segoe UI" w:cs="Segoe UI"/>
      <w:sz w:val="18"/>
      <w:szCs w:val="18"/>
    </w:rPr>
  </w:style>
  <w:style w:type="character" w:styleId="Funotenzeichen">
    <w:name w:val="footnote reference"/>
    <w:basedOn w:val="Absatz-Standardschriftart"/>
    <w:uiPriority w:val="99"/>
    <w:semiHidden/>
    <w:unhideWhenUsed/>
    <w:rsid w:val="00386BC6"/>
    <w:rPr>
      <w:vertAlign w:val="superscript"/>
    </w:rPr>
  </w:style>
  <w:style w:type="character" w:styleId="Hyperlink">
    <w:name w:val="Hyperlink"/>
    <w:basedOn w:val="Absatz-Standardschriftart"/>
    <w:uiPriority w:val="99"/>
    <w:unhideWhenUsed/>
    <w:rsid w:val="00386BC6"/>
    <w:rPr>
      <w:color w:val="0563C1" w:themeColor="hyperlink"/>
      <w:u w:val="single"/>
    </w:rPr>
  </w:style>
  <w:style w:type="paragraph" w:styleId="Funotentext">
    <w:name w:val="footnote text"/>
    <w:basedOn w:val="Standard"/>
    <w:link w:val="FunotentextZchn"/>
    <w:uiPriority w:val="99"/>
    <w:semiHidden/>
    <w:unhideWhenUsed/>
    <w:rsid w:val="00AF7C4D"/>
    <w:pPr>
      <w:spacing w:after="0"/>
    </w:pPr>
    <w:rPr>
      <w:rFonts w:asciiTheme="minorHAnsi" w:hAnsiTheme="minorHAnsi"/>
      <w:szCs w:val="20"/>
    </w:rPr>
  </w:style>
  <w:style w:type="character" w:customStyle="1" w:styleId="FunotentextZchn">
    <w:name w:val="Fußnotentext Zchn"/>
    <w:basedOn w:val="Absatz-Standardschriftart"/>
    <w:link w:val="Funotentext"/>
    <w:uiPriority w:val="99"/>
    <w:semiHidden/>
    <w:rsid w:val="00AF7C4D"/>
    <w:rPr>
      <w:sz w:val="20"/>
      <w:szCs w:val="20"/>
    </w:rPr>
  </w:style>
  <w:style w:type="table" w:styleId="Tabellenraster">
    <w:name w:val="Table Grid"/>
    <w:basedOn w:val="NormaleTabelle"/>
    <w:uiPriority w:val="39"/>
    <w:rsid w:val="00AF7C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efaehrdungsbeurteilung.de/de/handlungshilfen/datenbank"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www.bgbau.de/gisbau/fachthemen/epoxi/downloads/ARBOUWBGBAUEpoxiBekanntgabeInternet.pdf" TargetMode="Externa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footnotes.xml.rels><?xml version="1.0" encoding="UTF-8" standalone="yes"?>
<Relationships xmlns="http://schemas.openxmlformats.org/package/2006/relationships"><Relationship Id="rId1" Type="http://schemas.openxmlformats.org/officeDocument/2006/relationships/hyperlink" Target="https://www.gesetze-im-internet.de/arbschg/index.html"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539EDB63-B7B7-4A55-8259-C3212FA646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1000</Words>
  <Characters>6301</Characters>
  <Application>Microsoft Office Word</Application>
  <DocSecurity>0</DocSecurity>
  <Lines>52</Lines>
  <Paragraphs>14</Paragraphs>
  <ScaleCrop>false</ScaleCrop>
  <HeadingPairs>
    <vt:vector size="4" baseType="variant">
      <vt:variant>
        <vt:lpstr>Titel</vt:lpstr>
      </vt:variant>
      <vt:variant>
        <vt:i4>1</vt:i4>
      </vt:variant>
      <vt:variant>
        <vt:lpstr>Headings</vt:lpstr>
      </vt:variant>
      <vt:variant>
        <vt:i4>2</vt:i4>
      </vt:variant>
    </vt:vector>
  </HeadingPairs>
  <TitlesOfParts>
    <vt:vector size="3" baseType="lpstr">
      <vt:lpstr/>
      <vt:lpstr>    Das folgende Beispiel </vt:lpstr>
      <vt:lpstr>    basiert auf einem realen Fall</vt:lpstr>
    </vt:vector>
  </TitlesOfParts>
  <Company/>
  <LinksUpToDate>false</LinksUpToDate>
  <CharactersWithSpaces>7287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Office-Anwender</dc:creator>
  <cp:keywords/>
  <dc:description/>
  <cp:lastModifiedBy>Andreas Hansen</cp:lastModifiedBy>
  <cp:revision>6</cp:revision>
  <dcterms:created xsi:type="dcterms:W3CDTF">2018-08-24T14:19:00Z</dcterms:created>
  <dcterms:modified xsi:type="dcterms:W3CDTF">2018-09-28T12:51:00Z</dcterms:modified>
</cp:coreProperties>
</file>